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Pr="008032EF" w:rsidRDefault="002B60B7" w:rsidP="00376889">
      <w:pPr>
        <w:spacing w:line="720" w:lineRule="auto"/>
        <w:jc w:val="center"/>
        <w:rPr>
          <w:b/>
          <w:bCs/>
          <w:sz w:val="32"/>
          <w:szCs w:val="32"/>
        </w:rPr>
      </w:pPr>
      <w:bookmarkStart w:id="0" w:name="_GoBack"/>
      <w:r w:rsidRPr="008032EF">
        <w:rPr>
          <w:rFonts w:ascii="Comic Sans MS" w:hAnsi="Comic Sans MS"/>
          <w:b/>
          <w:sz w:val="32"/>
          <w:szCs w:val="32"/>
        </w:rPr>
        <w:t xml:space="preserve">Proposal for a Regulation of the European Parliament and of Council Applying a Scheme of </w:t>
      </w:r>
      <w:proofErr w:type="spellStart"/>
      <w:r w:rsidRPr="008032EF">
        <w:rPr>
          <w:rFonts w:ascii="Comic Sans MS" w:hAnsi="Comic Sans MS"/>
          <w:b/>
          <w:sz w:val="32"/>
          <w:szCs w:val="32"/>
        </w:rPr>
        <w:t>Generalised</w:t>
      </w:r>
      <w:proofErr w:type="spellEnd"/>
      <w:r w:rsidRPr="008032EF">
        <w:rPr>
          <w:rFonts w:ascii="Comic Sans MS" w:hAnsi="Comic Sans MS"/>
          <w:b/>
          <w:sz w:val="32"/>
          <w:szCs w:val="32"/>
        </w:rPr>
        <w:t xml:space="preserve"> Tariff Preferences – Some Pointers</w:t>
      </w:r>
    </w:p>
    <w:bookmarkEnd w:id="0"/>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Pr="00376889" w:rsidRDefault="002B60B7" w:rsidP="008A6A1A">
      <w:pPr>
        <w:autoSpaceDE w:val="0"/>
        <w:autoSpaceDN w:val="0"/>
        <w:adjustRightInd w:val="0"/>
        <w:rPr>
          <w:rFonts w:ascii="Comic Sans MS" w:hAnsi="Comic Sans MS"/>
          <w:sz w:val="28"/>
          <w:szCs w:val="28"/>
        </w:rPr>
      </w:pPr>
      <w:r w:rsidRPr="00376889">
        <w:rPr>
          <w:rFonts w:ascii="Comic Sans MS" w:hAnsi="Comic Sans MS"/>
          <w:sz w:val="28"/>
          <w:szCs w:val="28"/>
        </w:rPr>
        <w:t>Felix Maonera</w:t>
      </w:r>
    </w:p>
    <w:p w:rsidR="002B60B7" w:rsidRPr="00376889" w:rsidRDefault="002B60B7" w:rsidP="008A6A1A">
      <w:pPr>
        <w:autoSpaceDE w:val="0"/>
        <w:autoSpaceDN w:val="0"/>
        <w:adjustRightInd w:val="0"/>
        <w:rPr>
          <w:rFonts w:ascii="Comic Sans MS" w:hAnsi="Comic Sans MS"/>
          <w:i/>
        </w:rPr>
      </w:pPr>
      <w:r w:rsidRPr="00376889">
        <w:rPr>
          <w:rFonts w:ascii="Comic Sans MS" w:hAnsi="Comic Sans MS"/>
          <w:i/>
        </w:rPr>
        <w:t>Deputy Head, ACP Geneva Office</w:t>
      </w:r>
    </w:p>
    <w:p w:rsidR="002B60B7" w:rsidRPr="00376889" w:rsidRDefault="002B60B7" w:rsidP="008A6A1A">
      <w:pPr>
        <w:autoSpaceDE w:val="0"/>
        <w:autoSpaceDN w:val="0"/>
        <w:adjustRightInd w:val="0"/>
        <w:rPr>
          <w:rFonts w:ascii="Comic Sans MS" w:hAnsi="Comic Sans MS"/>
          <w:sz w:val="28"/>
          <w:szCs w:val="28"/>
        </w:rPr>
      </w:pPr>
    </w:p>
    <w:p w:rsidR="002B60B7" w:rsidRDefault="002B60B7" w:rsidP="008A6A1A">
      <w:pPr>
        <w:autoSpaceDE w:val="0"/>
        <w:autoSpaceDN w:val="0"/>
        <w:adjustRightInd w:val="0"/>
      </w:pPr>
    </w:p>
    <w:p w:rsidR="002B60B7" w:rsidRPr="00376889" w:rsidRDefault="002B60B7" w:rsidP="008A6A1A">
      <w:pPr>
        <w:autoSpaceDE w:val="0"/>
        <w:autoSpaceDN w:val="0"/>
        <w:adjustRightInd w:val="0"/>
        <w:rPr>
          <w:rFonts w:ascii="Comic Sans MS" w:hAnsi="Comic Sans MS"/>
        </w:rPr>
      </w:pPr>
      <w:r>
        <w:rPr>
          <w:rFonts w:ascii="Comic Sans MS" w:hAnsi="Comic Sans MS"/>
        </w:rPr>
        <w:t>June</w:t>
      </w:r>
      <w:r w:rsidRPr="00376889">
        <w:rPr>
          <w:rFonts w:ascii="Comic Sans MS" w:hAnsi="Comic Sans MS"/>
        </w:rPr>
        <w:t xml:space="preserve"> 2011</w:t>
      </w: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Pr="00D43F75" w:rsidRDefault="002B60B7" w:rsidP="00D43F75">
      <w:pPr>
        <w:autoSpaceDE w:val="0"/>
        <w:autoSpaceDN w:val="0"/>
        <w:adjustRightInd w:val="0"/>
        <w:jc w:val="center"/>
        <w:rPr>
          <w:rFonts w:ascii="Comic Sans MS" w:hAnsi="Comic Sans MS"/>
          <w:sz w:val="28"/>
          <w:szCs w:val="28"/>
        </w:rPr>
      </w:pPr>
      <w:r w:rsidRPr="00613332">
        <w:rPr>
          <w:rFonts w:ascii="Comic Sans MS" w:hAnsi="Comic Sans MS"/>
          <w:i/>
        </w:rPr>
        <w:t>The views expressed in this paper are personal to the author and do not necessarily reflect the views of the ACP</w:t>
      </w:r>
      <w:r>
        <w:rPr>
          <w:rFonts w:ascii="Comic Sans MS" w:hAnsi="Comic Sans MS"/>
          <w:i/>
        </w:rPr>
        <w:t xml:space="preserve"> Secretariat or the ACP Group</w:t>
      </w:r>
      <w:r w:rsidRPr="00613332">
        <w:rPr>
          <w:rFonts w:ascii="Comic Sans MS" w:hAnsi="Comic Sans MS"/>
          <w:i/>
        </w:rPr>
        <w:t xml:space="preserve"> </w:t>
      </w: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Pr="00286C98" w:rsidRDefault="002B60B7" w:rsidP="00286C98">
      <w:pPr>
        <w:autoSpaceDE w:val="0"/>
        <w:autoSpaceDN w:val="0"/>
        <w:adjustRightInd w:val="0"/>
        <w:jc w:val="center"/>
        <w:rPr>
          <w:rFonts w:ascii="Comic Sans MS" w:hAnsi="Comic Sans MS"/>
        </w:rPr>
      </w:pPr>
      <w:r w:rsidRPr="00286C98">
        <w:rPr>
          <w:rFonts w:ascii="Comic Sans MS" w:hAnsi="Comic Sans MS"/>
        </w:rPr>
        <w:t>Contents</w:t>
      </w:r>
    </w:p>
    <w:p w:rsidR="002B60B7" w:rsidRDefault="002B60B7" w:rsidP="00286C98">
      <w:pPr>
        <w:autoSpaceDE w:val="0"/>
        <w:autoSpaceDN w:val="0"/>
        <w:adjustRightInd w:val="0"/>
        <w:jc w:val="center"/>
        <w:rPr>
          <w:rFonts w:ascii="Comic Sans MS" w:hAnsi="Comic Sans MS"/>
        </w:rPr>
      </w:pPr>
    </w:p>
    <w:p w:rsidR="002B60B7" w:rsidRDefault="002B60B7" w:rsidP="00286C98">
      <w:pPr>
        <w:autoSpaceDE w:val="0"/>
        <w:autoSpaceDN w:val="0"/>
        <w:adjustRightInd w:val="0"/>
        <w:jc w:val="center"/>
        <w:rPr>
          <w:rFonts w:ascii="Comic Sans MS" w:hAnsi="Comic Sans MS"/>
        </w:rPr>
      </w:pPr>
    </w:p>
    <w:p w:rsidR="002B60B7" w:rsidRDefault="002B60B7" w:rsidP="00286C98">
      <w:pPr>
        <w:autoSpaceDE w:val="0"/>
        <w:autoSpaceDN w:val="0"/>
        <w:adjustRightInd w:val="0"/>
        <w:jc w:val="center"/>
        <w:rPr>
          <w:rFonts w:ascii="Comic Sans MS" w:hAnsi="Comic Sans MS"/>
        </w:rPr>
      </w:pPr>
    </w:p>
    <w:p w:rsidR="002B60B7" w:rsidRDefault="002B60B7" w:rsidP="00286C98">
      <w:pPr>
        <w:autoSpaceDE w:val="0"/>
        <w:autoSpaceDN w:val="0"/>
        <w:adjustRightInd w:val="0"/>
        <w:jc w:val="center"/>
        <w:rPr>
          <w:rFonts w:ascii="Comic Sans MS" w:hAnsi="Comic Sans MS"/>
        </w:rPr>
      </w:pPr>
    </w:p>
    <w:p w:rsidR="002B60B7" w:rsidRDefault="002B60B7" w:rsidP="00286C98">
      <w:pPr>
        <w:autoSpaceDE w:val="0"/>
        <w:autoSpaceDN w:val="0"/>
        <w:adjustRightInd w:val="0"/>
        <w:jc w:val="center"/>
        <w:rPr>
          <w:rFonts w:ascii="Comic Sans MS" w:hAnsi="Comic Sans MS"/>
        </w:rPr>
      </w:pPr>
    </w:p>
    <w:p w:rsidR="002B60B7" w:rsidRPr="00286C98" w:rsidRDefault="002B60B7" w:rsidP="00286C98">
      <w:pPr>
        <w:autoSpaceDE w:val="0"/>
        <w:autoSpaceDN w:val="0"/>
        <w:adjustRightInd w:val="0"/>
        <w:jc w:val="center"/>
        <w:rPr>
          <w:rFonts w:ascii="Comic Sans MS" w:hAnsi="Comic Sans MS"/>
        </w:rPr>
      </w:pPr>
    </w:p>
    <w:p w:rsidR="002B60B7" w:rsidRDefault="002B60B7" w:rsidP="008A6A1A">
      <w:pPr>
        <w:autoSpaceDE w:val="0"/>
        <w:autoSpaceDN w:val="0"/>
        <w:adjustRightInd w:val="0"/>
      </w:pPr>
    </w:p>
    <w:p w:rsidR="002B60B7" w:rsidRDefault="002B60B7">
      <w:pPr>
        <w:pStyle w:val="TOC3"/>
        <w:tabs>
          <w:tab w:val="right" w:leader="dot" w:pos="8630"/>
        </w:tabs>
        <w:rPr>
          <w:noProof/>
        </w:rPr>
      </w:pPr>
      <w:r>
        <w:fldChar w:fldCharType="begin"/>
      </w:r>
      <w:r>
        <w:instrText xml:space="preserve"> TOC \o \h \z \u </w:instrText>
      </w:r>
      <w:r>
        <w:fldChar w:fldCharType="separate"/>
      </w:r>
      <w:hyperlink w:anchor="_Toc295486232" w:history="1">
        <w:r w:rsidRPr="00EE7EF0">
          <w:rPr>
            <w:rStyle w:val="Hyperlink"/>
            <w:rFonts w:ascii="Comic Sans MS" w:hAnsi="Comic Sans MS"/>
            <w:bCs/>
            <w:noProof/>
          </w:rPr>
          <w:t>Abstract</w:t>
        </w:r>
        <w:r>
          <w:rPr>
            <w:noProof/>
            <w:webHidden/>
          </w:rPr>
          <w:tab/>
        </w:r>
        <w:r>
          <w:rPr>
            <w:noProof/>
            <w:webHidden/>
          </w:rPr>
          <w:fldChar w:fldCharType="begin"/>
        </w:r>
        <w:r>
          <w:rPr>
            <w:noProof/>
            <w:webHidden/>
          </w:rPr>
          <w:instrText xml:space="preserve"> PAGEREF _Toc295486232 \h </w:instrText>
        </w:r>
        <w:r>
          <w:rPr>
            <w:noProof/>
            <w:webHidden/>
          </w:rPr>
        </w:r>
        <w:r>
          <w:rPr>
            <w:noProof/>
            <w:webHidden/>
          </w:rPr>
          <w:fldChar w:fldCharType="separate"/>
        </w:r>
        <w:r w:rsidR="002F0CDF">
          <w:rPr>
            <w:noProof/>
            <w:webHidden/>
          </w:rPr>
          <w:t>4</w:t>
        </w:r>
        <w:r>
          <w:rPr>
            <w:noProof/>
            <w:webHidden/>
          </w:rPr>
          <w:fldChar w:fldCharType="end"/>
        </w:r>
      </w:hyperlink>
    </w:p>
    <w:p w:rsidR="002B60B7" w:rsidRDefault="002B60B7">
      <w:pPr>
        <w:pStyle w:val="TOC3"/>
        <w:tabs>
          <w:tab w:val="left" w:pos="960"/>
          <w:tab w:val="right" w:leader="dot" w:pos="8630"/>
        </w:tabs>
        <w:rPr>
          <w:rStyle w:val="Hyperlink"/>
          <w:noProof/>
        </w:rPr>
      </w:pPr>
    </w:p>
    <w:p w:rsidR="002B60B7" w:rsidRDefault="008B11C8">
      <w:pPr>
        <w:pStyle w:val="TOC3"/>
        <w:tabs>
          <w:tab w:val="left" w:pos="960"/>
          <w:tab w:val="right" w:leader="dot" w:pos="8630"/>
        </w:tabs>
        <w:rPr>
          <w:noProof/>
        </w:rPr>
      </w:pPr>
      <w:hyperlink w:anchor="_Toc295486233" w:history="1">
        <w:r w:rsidR="002B60B7" w:rsidRPr="00EE7EF0">
          <w:rPr>
            <w:rStyle w:val="Hyperlink"/>
            <w:rFonts w:ascii="Comic Sans MS" w:hAnsi="Comic Sans MS"/>
            <w:noProof/>
          </w:rPr>
          <w:t>1.</w:t>
        </w:r>
        <w:r w:rsidR="002B60B7">
          <w:rPr>
            <w:noProof/>
          </w:rPr>
          <w:tab/>
        </w:r>
        <w:r w:rsidR="002B60B7" w:rsidRPr="00EE7EF0">
          <w:rPr>
            <w:rStyle w:val="Hyperlink"/>
            <w:rFonts w:ascii="Comic Sans MS" w:hAnsi="Comic Sans MS"/>
            <w:noProof/>
          </w:rPr>
          <w:t>Introduction</w:t>
        </w:r>
        <w:r w:rsidR="002B60B7">
          <w:rPr>
            <w:noProof/>
            <w:webHidden/>
          </w:rPr>
          <w:tab/>
        </w:r>
        <w:r w:rsidR="002B60B7">
          <w:rPr>
            <w:noProof/>
            <w:webHidden/>
          </w:rPr>
          <w:fldChar w:fldCharType="begin"/>
        </w:r>
        <w:r w:rsidR="002B60B7">
          <w:rPr>
            <w:noProof/>
            <w:webHidden/>
          </w:rPr>
          <w:instrText xml:space="preserve"> PAGEREF _Toc295486233 \h </w:instrText>
        </w:r>
        <w:r w:rsidR="002B60B7">
          <w:rPr>
            <w:noProof/>
            <w:webHidden/>
          </w:rPr>
        </w:r>
        <w:r w:rsidR="002B60B7">
          <w:rPr>
            <w:noProof/>
            <w:webHidden/>
          </w:rPr>
          <w:fldChar w:fldCharType="separate"/>
        </w:r>
        <w:r w:rsidR="002F0CDF">
          <w:rPr>
            <w:noProof/>
            <w:webHidden/>
          </w:rPr>
          <w:t>5</w:t>
        </w:r>
        <w:r w:rsidR="002B60B7">
          <w:rPr>
            <w:noProof/>
            <w:webHidden/>
          </w:rPr>
          <w:fldChar w:fldCharType="end"/>
        </w:r>
      </w:hyperlink>
    </w:p>
    <w:p w:rsidR="002B60B7" w:rsidRDefault="002B60B7">
      <w:pPr>
        <w:pStyle w:val="TOC3"/>
        <w:tabs>
          <w:tab w:val="left" w:pos="960"/>
          <w:tab w:val="right" w:leader="dot" w:pos="8630"/>
        </w:tabs>
        <w:rPr>
          <w:rStyle w:val="Hyperlink"/>
          <w:noProof/>
        </w:rPr>
      </w:pPr>
    </w:p>
    <w:p w:rsidR="002B60B7" w:rsidRDefault="008B11C8">
      <w:pPr>
        <w:pStyle w:val="TOC3"/>
        <w:tabs>
          <w:tab w:val="left" w:pos="960"/>
          <w:tab w:val="right" w:leader="dot" w:pos="8630"/>
        </w:tabs>
        <w:rPr>
          <w:noProof/>
        </w:rPr>
      </w:pPr>
      <w:hyperlink w:anchor="_Toc295486234" w:history="1">
        <w:r w:rsidR="002B60B7" w:rsidRPr="00EE7EF0">
          <w:rPr>
            <w:rStyle w:val="Hyperlink"/>
            <w:rFonts w:ascii="Comic Sans MS" w:hAnsi="Comic Sans MS"/>
            <w:bCs/>
            <w:noProof/>
          </w:rPr>
          <w:t>2.</w:t>
        </w:r>
        <w:r w:rsidR="002B60B7">
          <w:rPr>
            <w:noProof/>
          </w:rPr>
          <w:tab/>
        </w:r>
        <w:r w:rsidR="002B60B7" w:rsidRPr="00EE7EF0">
          <w:rPr>
            <w:rStyle w:val="Hyperlink"/>
            <w:rFonts w:ascii="Comic Sans MS" w:hAnsi="Comic Sans MS"/>
            <w:bCs/>
            <w:noProof/>
          </w:rPr>
          <w:t>Unsubstantiated Claims</w:t>
        </w:r>
        <w:r w:rsidR="002B60B7">
          <w:rPr>
            <w:noProof/>
            <w:webHidden/>
          </w:rPr>
          <w:tab/>
        </w:r>
        <w:r w:rsidR="002B60B7">
          <w:rPr>
            <w:noProof/>
            <w:webHidden/>
          </w:rPr>
          <w:fldChar w:fldCharType="begin"/>
        </w:r>
        <w:r w:rsidR="002B60B7">
          <w:rPr>
            <w:noProof/>
            <w:webHidden/>
          </w:rPr>
          <w:instrText xml:space="preserve"> PAGEREF _Toc295486234 \h </w:instrText>
        </w:r>
        <w:r w:rsidR="002B60B7">
          <w:rPr>
            <w:noProof/>
            <w:webHidden/>
          </w:rPr>
        </w:r>
        <w:r w:rsidR="002B60B7">
          <w:rPr>
            <w:noProof/>
            <w:webHidden/>
          </w:rPr>
          <w:fldChar w:fldCharType="separate"/>
        </w:r>
        <w:r w:rsidR="002F0CDF">
          <w:rPr>
            <w:noProof/>
            <w:webHidden/>
          </w:rPr>
          <w:t>7</w:t>
        </w:r>
        <w:r w:rsidR="002B60B7">
          <w:rPr>
            <w:noProof/>
            <w:webHidden/>
          </w:rPr>
          <w:fldChar w:fldCharType="end"/>
        </w:r>
      </w:hyperlink>
    </w:p>
    <w:p w:rsidR="002B60B7" w:rsidRDefault="002B60B7">
      <w:pPr>
        <w:pStyle w:val="TOC3"/>
        <w:tabs>
          <w:tab w:val="left" w:pos="960"/>
          <w:tab w:val="right" w:leader="dot" w:pos="8630"/>
        </w:tabs>
        <w:rPr>
          <w:rStyle w:val="Hyperlink"/>
          <w:noProof/>
        </w:rPr>
      </w:pPr>
    </w:p>
    <w:p w:rsidR="002B60B7" w:rsidRDefault="008B11C8">
      <w:pPr>
        <w:pStyle w:val="TOC3"/>
        <w:tabs>
          <w:tab w:val="left" w:pos="960"/>
          <w:tab w:val="right" w:leader="dot" w:pos="8630"/>
        </w:tabs>
        <w:rPr>
          <w:noProof/>
        </w:rPr>
      </w:pPr>
      <w:hyperlink w:anchor="_Toc295486235" w:history="1">
        <w:r w:rsidR="002B60B7" w:rsidRPr="00EE7EF0">
          <w:rPr>
            <w:rStyle w:val="Hyperlink"/>
            <w:rFonts w:ascii="Comic Sans MS" w:hAnsi="Comic Sans MS"/>
            <w:bCs/>
            <w:noProof/>
          </w:rPr>
          <w:t>3.</w:t>
        </w:r>
        <w:r w:rsidR="002B60B7">
          <w:rPr>
            <w:noProof/>
          </w:rPr>
          <w:tab/>
        </w:r>
        <w:r w:rsidR="002B60B7" w:rsidRPr="00EE7EF0">
          <w:rPr>
            <w:rStyle w:val="Hyperlink"/>
            <w:rFonts w:ascii="Comic Sans MS" w:hAnsi="Comic Sans MS"/>
            <w:bCs/>
            <w:noProof/>
          </w:rPr>
          <w:t>Suspension of Imports and Withdrawal of the GSP Scheme</w:t>
        </w:r>
        <w:r w:rsidR="002B60B7">
          <w:rPr>
            <w:noProof/>
            <w:webHidden/>
          </w:rPr>
          <w:tab/>
        </w:r>
        <w:r w:rsidR="002B60B7">
          <w:rPr>
            <w:noProof/>
            <w:webHidden/>
          </w:rPr>
          <w:fldChar w:fldCharType="begin"/>
        </w:r>
        <w:r w:rsidR="002B60B7">
          <w:rPr>
            <w:noProof/>
            <w:webHidden/>
          </w:rPr>
          <w:instrText xml:space="preserve"> PAGEREF _Toc295486235 \h </w:instrText>
        </w:r>
        <w:r w:rsidR="002B60B7">
          <w:rPr>
            <w:noProof/>
            <w:webHidden/>
          </w:rPr>
        </w:r>
        <w:r w:rsidR="002B60B7">
          <w:rPr>
            <w:noProof/>
            <w:webHidden/>
          </w:rPr>
          <w:fldChar w:fldCharType="separate"/>
        </w:r>
        <w:r w:rsidR="002F0CDF">
          <w:rPr>
            <w:noProof/>
            <w:webHidden/>
          </w:rPr>
          <w:t>12</w:t>
        </w:r>
        <w:r w:rsidR="002B60B7">
          <w:rPr>
            <w:noProof/>
            <w:webHidden/>
          </w:rPr>
          <w:fldChar w:fldCharType="end"/>
        </w:r>
      </w:hyperlink>
    </w:p>
    <w:p w:rsidR="002B60B7" w:rsidRDefault="002B60B7">
      <w:pPr>
        <w:pStyle w:val="TOC3"/>
        <w:tabs>
          <w:tab w:val="left" w:pos="960"/>
          <w:tab w:val="right" w:leader="dot" w:pos="8630"/>
        </w:tabs>
        <w:rPr>
          <w:rStyle w:val="Hyperlink"/>
          <w:noProof/>
        </w:rPr>
      </w:pPr>
    </w:p>
    <w:p w:rsidR="002B60B7" w:rsidRDefault="008B11C8">
      <w:pPr>
        <w:pStyle w:val="TOC3"/>
        <w:tabs>
          <w:tab w:val="left" w:pos="960"/>
          <w:tab w:val="right" w:leader="dot" w:pos="8630"/>
        </w:tabs>
        <w:rPr>
          <w:noProof/>
        </w:rPr>
      </w:pPr>
      <w:hyperlink w:anchor="_Toc295486236" w:history="1">
        <w:r w:rsidR="002B60B7" w:rsidRPr="00EE7EF0">
          <w:rPr>
            <w:rStyle w:val="Hyperlink"/>
            <w:rFonts w:ascii="Comic Sans MS" w:hAnsi="Comic Sans MS"/>
            <w:bCs/>
            <w:noProof/>
          </w:rPr>
          <w:t>4.</w:t>
        </w:r>
        <w:r w:rsidR="002B60B7">
          <w:rPr>
            <w:noProof/>
          </w:rPr>
          <w:tab/>
        </w:r>
        <w:r w:rsidR="002B60B7" w:rsidRPr="00EE7EF0">
          <w:rPr>
            <w:rStyle w:val="Hyperlink"/>
            <w:rFonts w:ascii="Comic Sans MS" w:hAnsi="Comic Sans MS"/>
            <w:bCs/>
            <w:noProof/>
          </w:rPr>
          <w:t>Use of Loose and Elastic Terms</w:t>
        </w:r>
        <w:r w:rsidR="002B60B7">
          <w:rPr>
            <w:noProof/>
            <w:webHidden/>
          </w:rPr>
          <w:tab/>
        </w:r>
        <w:r w:rsidR="002B60B7">
          <w:rPr>
            <w:noProof/>
            <w:webHidden/>
          </w:rPr>
          <w:fldChar w:fldCharType="begin"/>
        </w:r>
        <w:r w:rsidR="002B60B7">
          <w:rPr>
            <w:noProof/>
            <w:webHidden/>
          </w:rPr>
          <w:instrText xml:space="preserve"> PAGEREF _Toc295486236 \h </w:instrText>
        </w:r>
        <w:r w:rsidR="002B60B7">
          <w:rPr>
            <w:noProof/>
            <w:webHidden/>
          </w:rPr>
        </w:r>
        <w:r w:rsidR="002B60B7">
          <w:rPr>
            <w:noProof/>
            <w:webHidden/>
          </w:rPr>
          <w:fldChar w:fldCharType="separate"/>
        </w:r>
        <w:r w:rsidR="002F0CDF">
          <w:rPr>
            <w:noProof/>
            <w:webHidden/>
          </w:rPr>
          <w:t>13</w:t>
        </w:r>
        <w:r w:rsidR="002B60B7">
          <w:rPr>
            <w:noProof/>
            <w:webHidden/>
          </w:rPr>
          <w:fldChar w:fldCharType="end"/>
        </w:r>
      </w:hyperlink>
    </w:p>
    <w:p w:rsidR="002B60B7" w:rsidRDefault="002B60B7">
      <w:pPr>
        <w:pStyle w:val="TOC3"/>
        <w:tabs>
          <w:tab w:val="left" w:pos="960"/>
          <w:tab w:val="right" w:leader="dot" w:pos="8630"/>
        </w:tabs>
        <w:rPr>
          <w:rStyle w:val="Hyperlink"/>
          <w:noProof/>
        </w:rPr>
      </w:pPr>
    </w:p>
    <w:p w:rsidR="002B60B7" w:rsidRDefault="008B11C8">
      <w:pPr>
        <w:pStyle w:val="TOC3"/>
        <w:tabs>
          <w:tab w:val="left" w:pos="960"/>
          <w:tab w:val="right" w:leader="dot" w:pos="8630"/>
        </w:tabs>
        <w:rPr>
          <w:noProof/>
        </w:rPr>
      </w:pPr>
      <w:hyperlink w:anchor="_Toc295486237" w:history="1">
        <w:r w:rsidR="002B60B7" w:rsidRPr="00EE7EF0">
          <w:rPr>
            <w:rStyle w:val="Hyperlink"/>
            <w:rFonts w:ascii="Comic Sans MS" w:hAnsi="Comic Sans MS"/>
            <w:bCs/>
            <w:noProof/>
          </w:rPr>
          <w:t>5.</w:t>
        </w:r>
        <w:r w:rsidR="002B60B7">
          <w:rPr>
            <w:noProof/>
          </w:rPr>
          <w:tab/>
        </w:r>
        <w:r w:rsidR="002B60B7" w:rsidRPr="00EE7EF0">
          <w:rPr>
            <w:rStyle w:val="Hyperlink"/>
            <w:rFonts w:ascii="Comic Sans MS" w:hAnsi="Comic Sans MS"/>
            <w:bCs/>
            <w:noProof/>
          </w:rPr>
          <w:t>Compatibility With Other Instruments</w:t>
        </w:r>
        <w:r w:rsidR="002B60B7">
          <w:rPr>
            <w:noProof/>
            <w:webHidden/>
          </w:rPr>
          <w:tab/>
        </w:r>
        <w:r w:rsidR="002B60B7">
          <w:rPr>
            <w:noProof/>
            <w:webHidden/>
          </w:rPr>
          <w:fldChar w:fldCharType="begin"/>
        </w:r>
        <w:r w:rsidR="002B60B7">
          <w:rPr>
            <w:noProof/>
            <w:webHidden/>
          </w:rPr>
          <w:instrText xml:space="preserve"> PAGEREF _Toc295486237 \h </w:instrText>
        </w:r>
        <w:r w:rsidR="002B60B7">
          <w:rPr>
            <w:noProof/>
            <w:webHidden/>
          </w:rPr>
        </w:r>
        <w:r w:rsidR="002B60B7">
          <w:rPr>
            <w:noProof/>
            <w:webHidden/>
          </w:rPr>
          <w:fldChar w:fldCharType="separate"/>
        </w:r>
        <w:r w:rsidR="002F0CDF">
          <w:rPr>
            <w:noProof/>
            <w:webHidden/>
          </w:rPr>
          <w:t>15</w:t>
        </w:r>
        <w:r w:rsidR="002B60B7">
          <w:rPr>
            <w:noProof/>
            <w:webHidden/>
          </w:rPr>
          <w:fldChar w:fldCharType="end"/>
        </w:r>
      </w:hyperlink>
    </w:p>
    <w:p w:rsidR="002B60B7" w:rsidRDefault="008B11C8">
      <w:pPr>
        <w:pStyle w:val="TOC4"/>
        <w:tabs>
          <w:tab w:val="left" w:pos="1440"/>
          <w:tab w:val="right" w:leader="dot" w:pos="8630"/>
        </w:tabs>
        <w:rPr>
          <w:noProof/>
        </w:rPr>
      </w:pPr>
      <w:hyperlink w:anchor="_Toc295486238" w:history="1">
        <w:r w:rsidR="002B60B7" w:rsidRPr="00EE7EF0">
          <w:rPr>
            <w:rStyle w:val="Hyperlink"/>
            <w:rFonts w:ascii="Comic Sans MS" w:hAnsi="Comic Sans MS"/>
            <w:b/>
            <w:noProof/>
          </w:rPr>
          <w:t>(a)</w:t>
        </w:r>
        <w:r w:rsidR="002B60B7">
          <w:rPr>
            <w:noProof/>
          </w:rPr>
          <w:tab/>
        </w:r>
        <w:r w:rsidR="002B60B7" w:rsidRPr="00EE7EF0">
          <w:rPr>
            <w:rStyle w:val="Hyperlink"/>
            <w:rFonts w:ascii="Comic Sans MS" w:hAnsi="Comic Sans MS"/>
            <w:b/>
            <w:noProof/>
          </w:rPr>
          <w:t>Differentiating Between Developing Countries</w:t>
        </w:r>
        <w:r w:rsidR="002B60B7">
          <w:rPr>
            <w:noProof/>
            <w:webHidden/>
          </w:rPr>
          <w:tab/>
        </w:r>
        <w:r w:rsidR="002B60B7">
          <w:rPr>
            <w:noProof/>
            <w:webHidden/>
          </w:rPr>
          <w:fldChar w:fldCharType="begin"/>
        </w:r>
        <w:r w:rsidR="002B60B7">
          <w:rPr>
            <w:noProof/>
            <w:webHidden/>
          </w:rPr>
          <w:instrText xml:space="preserve"> PAGEREF _Toc295486238 \h </w:instrText>
        </w:r>
        <w:r w:rsidR="002B60B7">
          <w:rPr>
            <w:noProof/>
            <w:webHidden/>
          </w:rPr>
        </w:r>
        <w:r w:rsidR="002B60B7">
          <w:rPr>
            <w:noProof/>
            <w:webHidden/>
          </w:rPr>
          <w:fldChar w:fldCharType="separate"/>
        </w:r>
        <w:r w:rsidR="002F0CDF">
          <w:rPr>
            <w:noProof/>
            <w:webHidden/>
          </w:rPr>
          <w:t>17</w:t>
        </w:r>
        <w:r w:rsidR="002B60B7">
          <w:rPr>
            <w:noProof/>
            <w:webHidden/>
          </w:rPr>
          <w:fldChar w:fldCharType="end"/>
        </w:r>
      </w:hyperlink>
    </w:p>
    <w:p w:rsidR="002B60B7" w:rsidRDefault="008B11C8">
      <w:pPr>
        <w:pStyle w:val="TOC4"/>
        <w:tabs>
          <w:tab w:val="left" w:pos="1440"/>
          <w:tab w:val="right" w:leader="dot" w:pos="8630"/>
        </w:tabs>
        <w:rPr>
          <w:noProof/>
        </w:rPr>
      </w:pPr>
      <w:hyperlink w:anchor="_Toc295486239" w:history="1">
        <w:r w:rsidR="002B60B7" w:rsidRPr="00EE7EF0">
          <w:rPr>
            <w:rStyle w:val="Hyperlink"/>
            <w:rFonts w:ascii="Comic Sans MS" w:hAnsi="Comic Sans MS"/>
            <w:b/>
            <w:noProof/>
          </w:rPr>
          <w:t>(b)</w:t>
        </w:r>
        <w:r w:rsidR="002B60B7">
          <w:rPr>
            <w:noProof/>
          </w:rPr>
          <w:tab/>
        </w:r>
        <w:r w:rsidR="002B60B7" w:rsidRPr="00EE7EF0">
          <w:rPr>
            <w:rStyle w:val="Hyperlink"/>
            <w:rFonts w:ascii="Comic Sans MS" w:hAnsi="Comic Sans MS"/>
            <w:b/>
            <w:noProof/>
          </w:rPr>
          <w:t>No Foundation in the CARIS Report</w:t>
        </w:r>
        <w:r w:rsidR="002B60B7">
          <w:rPr>
            <w:noProof/>
            <w:webHidden/>
          </w:rPr>
          <w:tab/>
        </w:r>
        <w:r w:rsidR="002B60B7">
          <w:rPr>
            <w:noProof/>
            <w:webHidden/>
          </w:rPr>
          <w:fldChar w:fldCharType="begin"/>
        </w:r>
        <w:r w:rsidR="002B60B7">
          <w:rPr>
            <w:noProof/>
            <w:webHidden/>
          </w:rPr>
          <w:instrText xml:space="preserve"> PAGEREF _Toc295486239 \h </w:instrText>
        </w:r>
        <w:r w:rsidR="002B60B7">
          <w:rPr>
            <w:noProof/>
            <w:webHidden/>
          </w:rPr>
        </w:r>
        <w:r w:rsidR="002B60B7">
          <w:rPr>
            <w:noProof/>
            <w:webHidden/>
          </w:rPr>
          <w:fldChar w:fldCharType="separate"/>
        </w:r>
        <w:r w:rsidR="002F0CDF">
          <w:rPr>
            <w:noProof/>
            <w:webHidden/>
          </w:rPr>
          <w:t>24</w:t>
        </w:r>
        <w:r w:rsidR="002B60B7">
          <w:rPr>
            <w:noProof/>
            <w:webHidden/>
          </w:rPr>
          <w:fldChar w:fldCharType="end"/>
        </w:r>
      </w:hyperlink>
    </w:p>
    <w:p w:rsidR="002B60B7" w:rsidRDefault="002B60B7">
      <w:pPr>
        <w:pStyle w:val="TOC3"/>
        <w:tabs>
          <w:tab w:val="left" w:pos="960"/>
          <w:tab w:val="right" w:leader="dot" w:pos="8630"/>
        </w:tabs>
        <w:rPr>
          <w:rStyle w:val="Hyperlink"/>
          <w:noProof/>
        </w:rPr>
      </w:pPr>
    </w:p>
    <w:p w:rsidR="002B60B7" w:rsidRDefault="008B11C8">
      <w:pPr>
        <w:pStyle w:val="TOC3"/>
        <w:tabs>
          <w:tab w:val="left" w:pos="960"/>
          <w:tab w:val="right" w:leader="dot" w:pos="8630"/>
        </w:tabs>
        <w:rPr>
          <w:noProof/>
        </w:rPr>
      </w:pPr>
      <w:hyperlink w:anchor="_Toc295486240" w:history="1">
        <w:r w:rsidR="002B60B7" w:rsidRPr="00EE7EF0">
          <w:rPr>
            <w:rStyle w:val="Hyperlink"/>
            <w:rFonts w:ascii="Comic Sans MS" w:hAnsi="Comic Sans MS"/>
            <w:bCs/>
            <w:noProof/>
          </w:rPr>
          <w:t>6.</w:t>
        </w:r>
        <w:r w:rsidR="002B60B7">
          <w:rPr>
            <w:noProof/>
          </w:rPr>
          <w:tab/>
        </w:r>
        <w:r w:rsidR="002B60B7" w:rsidRPr="00EE7EF0">
          <w:rPr>
            <w:rStyle w:val="Hyperlink"/>
            <w:rFonts w:ascii="Comic Sans MS" w:hAnsi="Comic Sans MS"/>
            <w:bCs/>
            <w:noProof/>
          </w:rPr>
          <w:t>Special Burdens, Special Responsibilities</w:t>
        </w:r>
        <w:r w:rsidR="002B60B7">
          <w:rPr>
            <w:noProof/>
            <w:webHidden/>
          </w:rPr>
          <w:tab/>
        </w:r>
        <w:r w:rsidR="002B60B7">
          <w:rPr>
            <w:noProof/>
            <w:webHidden/>
          </w:rPr>
          <w:fldChar w:fldCharType="begin"/>
        </w:r>
        <w:r w:rsidR="002B60B7">
          <w:rPr>
            <w:noProof/>
            <w:webHidden/>
          </w:rPr>
          <w:instrText xml:space="preserve"> PAGEREF _Toc295486240 \h </w:instrText>
        </w:r>
        <w:r w:rsidR="002B60B7">
          <w:rPr>
            <w:noProof/>
            <w:webHidden/>
          </w:rPr>
        </w:r>
        <w:r w:rsidR="002B60B7">
          <w:rPr>
            <w:noProof/>
            <w:webHidden/>
          </w:rPr>
          <w:fldChar w:fldCharType="separate"/>
        </w:r>
        <w:r w:rsidR="002F0CDF">
          <w:rPr>
            <w:noProof/>
            <w:webHidden/>
          </w:rPr>
          <w:t>26</w:t>
        </w:r>
        <w:r w:rsidR="002B60B7">
          <w:rPr>
            <w:noProof/>
            <w:webHidden/>
          </w:rPr>
          <w:fldChar w:fldCharType="end"/>
        </w:r>
      </w:hyperlink>
    </w:p>
    <w:p w:rsidR="002B60B7" w:rsidRDefault="002B60B7">
      <w:pPr>
        <w:pStyle w:val="TOC3"/>
        <w:tabs>
          <w:tab w:val="left" w:pos="960"/>
          <w:tab w:val="right" w:leader="dot" w:pos="8630"/>
        </w:tabs>
        <w:rPr>
          <w:rStyle w:val="Hyperlink"/>
          <w:noProof/>
        </w:rPr>
      </w:pPr>
    </w:p>
    <w:p w:rsidR="002B60B7" w:rsidRDefault="008B11C8">
      <w:pPr>
        <w:pStyle w:val="TOC3"/>
        <w:tabs>
          <w:tab w:val="left" w:pos="960"/>
          <w:tab w:val="right" w:leader="dot" w:pos="8630"/>
        </w:tabs>
        <w:rPr>
          <w:noProof/>
        </w:rPr>
      </w:pPr>
      <w:hyperlink w:anchor="_Toc295486241" w:history="1">
        <w:r w:rsidR="002B60B7" w:rsidRPr="00EE7EF0">
          <w:rPr>
            <w:rStyle w:val="Hyperlink"/>
            <w:rFonts w:ascii="Comic Sans MS" w:hAnsi="Comic Sans MS"/>
            <w:bCs/>
            <w:noProof/>
          </w:rPr>
          <w:t>7.</w:t>
        </w:r>
        <w:r w:rsidR="002B60B7">
          <w:rPr>
            <w:noProof/>
          </w:rPr>
          <w:tab/>
        </w:r>
        <w:r w:rsidR="002B60B7" w:rsidRPr="00EE7EF0">
          <w:rPr>
            <w:rStyle w:val="Hyperlink"/>
            <w:rFonts w:ascii="Comic Sans MS" w:hAnsi="Comic Sans MS"/>
            <w:bCs/>
            <w:noProof/>
          </w:rPr>
          <w:t>Some Concluding Thoughts</w:t>
        </w:r>
        <w:r w:rsidR="002B60B7">
          <w:rPr>
            <w:noProof/>
            <w:webHidden/>
          </w:rPr>
          <w:tab/>
        </w:r>
        <w:r w:rsidR="002B60B7">
          <w:rPr>
            <w:noProof/>
            <w:webHidden/>
          </w:rPr>
          <w:fldChar w:fldCharType="begin"/>
        </w:r>
        <w:r w:rsidR="002B60B7">
          <w:rPr>
            <w:noProof/>
            <w:webHidden/>
          </w:rPr>
          <w:instrText xml:space="preserve"> PAGEREF _Toc295486241 \h </w:instrText>
        </w:r>
        <w:r w:rsidR="002B60B7">
          <w:rPr>
            <w:noProof/>
            <w:webHidden/>
          </w:rPr>
        </w:r>
        <w:r w:rsidR="002B60B7">
          <w:rPr>
            <w:noProof/>
            <w:webHidden/>
          </w:rPr>
          <w:fldChar w:fldCharType="separate"/>
        </w:r>
        <w:r w:rsidR="002F0CDF">
          <w:rPr>
            <w:noProof/>
            <w:webHidden/>
          </w:rPr>
          <w:t>28</w:t>
        </w:r>
        <w:r w:rsidR="002B60B7">
          <w:rPr>
            <w:noProof/>
            <w:webHidden/>
          </w:rPr>
          <w:fldChar w:fldCharType="end"/>
        </w:r>
      </w:hyperlink>
    </w:p>
    <w:p w:rsidR="002B60B7" w:rsidRDefault="002B60B7">
      <w:pPr>
        <w:pStyle w:val="TOC3"/>
        <w:tabs>
          <w:tab w:val="right" w:leader="dot" w:pos="8630"/>
        </w:tabs>
        <w:rPr>
          <w:rStyle w:val="Hyperlink"/>
          <w:noProof/>
        </w:rPr>
      </w:pPr>
    </w:p>
    <w:p w:rsidR="002B60B7" w:rsidRDefault="008B11C8">
      <w:pPr>
        <w:pStyle w:val="TOC3"/>
        <w:tabs>
          <w:tab w:val="right" w:leader="dot" w:pos="8630"/>
        </w:tabs>
        <w:rPr>
          <w:noProof/>
        </w:rPr>
      </w:pPr>
      <w:hyperlink w:anchor="_Toc295486242" w:history="1">
        <w:r w:rsidR="002B60B7" w:rsidRPr="00EE7EF0">
          <w:rPr>
            <w:rStyle w:val="Hyperlink"/>
            <w:rFonts w:ascii="Comic Sans MS" w:hAnsi="Comic Sans MS"/>
            <w:bCs/>
            <w:noProof/>
          </w:rPr>
          <w:t>Bibliography</w:t>
        </w:r>
        <w:r w:rsidR="002B60B7">
          <w:rPr>
            <w:noProof/>
            <w:webHidden/>
          </w:rPr>
          <w:tab/>
        </w:r>
        <w:r w:rsidR="002B60B7">
          <w:rPr>
            <w:noProof/>
            <w:webHidden/>
          </w:rPr>
          <w:fldChar w:fldCharType="begin"/>
        </w:r>
        <w:r w:rsidR="002B60B7">
          <w:rPr>
            <w:noProof/>
            <w:webHidden/>
          </w:rPr>
          <w:instrText xml:space="preserve"> PAGEREF _Toc295486242 \h </w:instrText>
        </w:r>
        <w:r w:rsidR="002B60B7">
          <w:rPr>
            <w:noProof/>
            <w:webHidden/>
          </w:rPr>
        </w:r>
        <w:r w:rsidR="002B60B7">
          <w:rPr>
            <w:noProof/>
            <w:webHidden/>
          </w:rPr>
          <w:fldChar w:fldCharType="separate"/>
        </w:r>
        <w:r w:rsidR="002F0CDF">
          <w:rPr>
            <w:noProof/>
            <w:webHidden/>
          </w:rPr>
          <w:t>32</w:t>
        </w:r>
        <w:r w:rsidR="002B60B7">
          <w:rPr>
            <w:noProof/>
            <w:webHidden/>
          </w:rPr>
          <w:fldChar w:fldCharType="end"/>
        </w:r>
      </w:hyperlink>
    </w:p>
    <w:p w:rsidR="002B60B7" w:rsidRDefault="002B60B7" w:rsidP="008A6A1A">
      <w:pPr>
        <w:autoSpaceDE w:val="0"/>
        <w:autoSpaceDN w:val="0"/>
        <w:adjustRightInd w:val="0"/>
      </w:pPr>
      <w:r>
        <w:fldChar w:fldCharType="end"/>
      </w: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Pr="00D2545A" w:rsidRDefault="002B60B7" w:rsidP="00D2545A">
      <w:pPr>
        <w:pStyle w:val="Heading3"/>
        <w:numPr>
          <w:ilvl w:val="0"/>
          <w:numId w:val="0"/>
        </w:numPr>
        <w:rPr>
          <w:rFonts w:ascii="Comic Sans MS" w:hAnsi="Comic Sans MS"/>
          <w:bCs/>
          <w:sz w:val="28"/>
        </w:rPr>
      </w:pPr>
      <w:bookmarkStart w:id="1" w:name="_Toc295486232"/>
      <w:r w:rsidRPr="00D2545A">
        <w:rPr>
          <w:rFonts w:ascii="Comic Sans MS" w:hAnsi="Comic Sans MS"/>
          <w:bCs/>
          <w:sz w:val="28"/>
        </w:rPr>
        <w:t>Abstract</w:t>
      </w:r>
      <w:bookmarkEnd w:id="1"/>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DD1921">
      <w:pPr>
        <w:jc w:val="both"/>
        <w:rPr>
          <w:rFonts w:ascii="Comic Sans MS" w:hAnsi="Comic Sans MS" w:cs="ArialMT"/>
        </w:rPr>
      </w:pPr>
      <w:r w:rsidRPr="00183DBE">
        <w:rPr>
          <w:rFonts w:ascii="Comic Sans MS" w:hAnsi="Comic Sans MS" w:cs="ArialMT"/>
        </w:rPr>
        <w:t xml:space="preserve">The European Commission </w:t>
      </w:r>
      <w:r w:rsidRPr="00183DBE">
        <w:rPr>
          <w:rFonts w:ascii="Comic Sans MS" w:hAnsi="Comic Sans MS"/>
        </w:rPr>
        <w:t xml:space="preserve">Proposal for a Regulation of the European Parliament and of the Council Applying a Scheme of </w:t>
      </w:r>
      <w:proofErr w:type="spellStart"/>
      <w:r w:rsidRPr="00183DBE">
        <w:rPr>
          <w:rFonts w:ascii="Comic Sans MS" w:hAnsi="Comic Sans MS"/>
        </w:rPr>
        <w:t>Generalised</w:t>
      </w:r>
      <w:proofErr w:type="spellEnd"/>
      <w:r w:rsidRPr="00183DBE">
        <w:rPr>
          <w:rFonts w:ascii="Comic Sans MS" w:hAnsi="Comic Sans MS"/>
        </w:rPr>
        <w:t xml:space="preserve"> Tariff Preferences</w:t>
      </w:r>
      <w:r w:rsidRPr="00183DBE">
        <w:rPr>
          <w:rFonts w:ascii="Comic Sans MS" w:hAnsi="Comic Sans MS" w:cs="ArialMT"/>
        </w:rPr>
        <w:t xml:space="preserve"> seeks to review the 2008 </w:t>
      </w:r>
      <w:r>
        <w:rPr>
          <w:rFonts w:ascii="Comic Sans MS" w:hAnsi="Comic Sans MS" w:cs="ArialMT"/>
        </w:rPr>
        <w:t xml:space="preserve">EC </w:t>
      </w:r>
      <w:r w:rsidRPr="00183DBE">
        <w:rPr>
          <w:rFonts w:ascii="Comic Sans MS" w:hAnsi="Comic Sans MS" w:cs="ArialMT"/>
        </w:rPr>
        <w:t xml:space="preserve">GSP Regulation and put in place a new scheme by 2014. </w:t>
      </w:r>
    </w:p>
    <w:p w:rsidR="002B60B7" w:rsidRDefault="002B60B7" w:rsidP="00DD1921">
      <w:pPr>
        <w:jc w:val="both"/>
        <w:rPr>
          <w:rFonts w:ascii="Comic Sans MS" w:hAnsi="Comic Sans MS" w:cs="ArialMT"/>
        </w:rPr>
      </w:pPr>
    </w:p>
    <w:p w:rsidR="002B60B7" w:rsidRPr="00183DBE" w:rsidRDefault="002B60B7" w:rsidP="00183DBE">
      <w:pPr>
        <w:jc w:val="both"/>
        <w:rPr>
          <w:rFonts w:ascii="Comic Sans MS" w:hAnsi="Comic Sans MS"/>
        </w:rPr>
      </w:pPr>
      <w:r w:rsidRPr="00183DBE">
        <w:rPr>
          <w:rFonts w:ascii="Comic Sans MS" w:hAnsi="Comic Sans MS"/>
        </w:rPr>
        <w:t xml:space="preserve">It is stated in the EC GSP scheme proposal that the proposed GSP modalities build on solutions that comply with the requirements of the World Trade </w:t>
      </w:r>
      <w:proofErr w:type="spellStart"/>
      <w:r w:rsidRPr="00183DBE">
        <w:rPr>
          <w:rFonts w:ascii="Comic Sans MS" w:hAnsi="Comic Sans MS"/>
        </w:rPr>
        <w:t>Organisation</w:t>
      </w:r>
      <w:proofErr w:type="spellEnd"/>
      <w:r w:rsidRPr="00183DBE">
        <w:rPr>
          <w:rFonts w:ascii="Comic Sans MS" w:hAnsi="Comic Sans MS"/>
        </w:rPr>
        <w:t xml:space="preserve">. This paper interrogates </w:t>
      </w:r>
      <w:r>
        <w:rPr>
          <w:rFonts w:ascii="Comic Sans MS" w:hAnsi="Comic Sans MS"/>
        </w:rPr>
        <w:t xml:space="preserve">this assertion, as well as various other </w:t>
      </w:r>
      <w:r w:rsidRPr="00183DBE">
        <w:rPr>
          <w:rFonts w:ascii="Comic Sans MS" w:hAnsi="Comic Sans MS"/>
        </w:rPr>
        <w:t xml:space="preserve">aspects of the EC GSP scheme proposal, taking into account </w:t>
      </w:r>
      <w:r>
        <w:rPr>
          <w:rFonts w:ascii="Comic Sans MS" w:hAnsi="Comic Sans MS"/>
        </w:rPr>
        <w:t xml:space="preserve">the fact </w:t>
      </w:r>
      <w:r w:rsidRPr="00183DBE">
        <w:rPr>
          <w:rFonts w:ascii="Comic Sans MS" w:hAnsi="Comic Sans MS"/>
        </w:rPr>
        <w:t xml:space="preserve">that WTO developing country Members often draw significant benefits from the operation of the GSP schemes of developed country Members, and that the setting up of the GSP was greeted very positively by the </w:t>
      </w:r>
      <w:r>
        <w:rPr>
          <w:rFonts w:ascii="Comic Sans MS" w:hAnsi="Comic Sans MS"/>
        </w:rPr>
        <w:t xml:space="preserve">WTO membership </w:t>
      </w:r>
      <w:r w:rsidRPr="00183DBE">
        <w:rPr>
          <w:rFonts w:ascii="Comic Sans MS" w:hAnsi="Comic Sans MS"/>
        </w:rPr>
        <w:t xml:space="preserve">as a whole.  The paper makes the point that the way is not open for the setting up of special preferences </w:t>
      </w:r>
      <w:proofErr w:type="spellStart"/>
      <w:r w:rsidRPr="00183DBE">
        <w:rPr>
          <w:rFonts w:ascii="Comic Sans MS" w:hAnsi="Comic Sans MS"/>
        </w:rPr>
        <w:t>favouring</w:t>
      </w:r>
      <w:proofErr w:type="spellEnd"/>
      <w:r w:rsidRPr="00183DBE">
        <w:rPr>
          <w:rFonts w:ascii="Comic Sans MS" w:hAnsi="Comic Sans MS"/>
        </w:rPr>
        <w:t xml:space="preserve"> different selected developing countries without proper justification. </w:t>
      </w:r>
    </w:p>
    <w:p w:rsidR="002B60B7" w:rsidRPr="00183DBE" w:rsidRDefault="002B60B7" w:rsidP="00DD1921">
      <w:pPr>
        <w:jc w:val="both"/>
        <w:rPr>
          <w:rFonts w:ascii="Comic Sans MS" w:hAnsi="Comic Sans MS"/>
        </w:rPr>
      </w:pPr>
    </w:p>
    <w:p w:rsidR="002B60B7" w:rsidRPr="00183DBE" w:rsidRDefault="002B60B7" w:rsidP="00CE7BF7">
      <w:pPr>
        <w:jc w:val="both"/>
        <w:rPr>
          <w:rFonts w:ascii="Comic Sans MS" w:hAnsi="Comic Sans MS"/>
          <w:sz w:val="28"/>
          <w:szCs w:val="28"/>
        </w:rPr>
      </w:pPr>
      <w:r w:rsidRPr="00183DBE">
        <w:rPr>
          <w:rFonts w:ascii="Comic Sans MS" w:hAnsi="Comic Sans MS"/>
        </w:rPr>
        <w:t xml:space="preserve">The paper concludes that </w:t>
      </w:r>
      <w:proofErr w:type="spellStart"/>
      <w:r w:rsidRPr="00183DBE">
        <w:rPr>
          <w:rFonts w:ascii="Comic Sans MS" w:hAnsi="Comic Sans MS"/>
        </w:rPr>
        <w:t>it</w:t>
      </w:r>
      <w:r>
        <w:rPr>
          <w:rFonts w:ascii="Comic Sans MS" w:hAnsi="Comic Sans MS"/>
        </w:rPr>
        <w:t>s</w:t>
      </w:r>
      <w:proofErr w:type="spellEnd"/>
      <w:r w:rsidRPr="00183DBE">
        <w:rPr>
          <w:rFonts w:ascii="Comic Sans MS" w:hAnsi="Comic Sans MS"/>
        </w:rPr>
        <w:t xml:space="preserve"> a fallacy that when the EC excludes from its GSP scheme, as it proposes to do, middle and upper</w:t>
      </w:r>
      <w:r>
        <w:rPr>
          <w:rFonts w:ascii="Comic Sans MS" w:hAnsi="Comic Sans MS"/>
        </w:rPr>
        <w:t>-</w:t>
      </w:r>
      <w:r w:rsidRPr="00183DBE">
        <w:rPr>
          <w:rFonts w:ascii="Comic Sans MS" w:hAnsi="Comic Sans MS"/>
        </w:rPr>
        <w:t xml:space="preserve">income countries then the poor vulnerable developing countries will </w:t>
      </w:r>
      <w:r>
        <w:rPr>
          <w:rFonts w:ascii="Comic Sans MS" w:hAnsi="Comic Sans MS"/>
        </w:rPr>
        <w:t xml:space="preserve">be able to take advantage. </w:t>
      </w:r>
      <w:r w:rsidRPr="00183DBE">
        <w:rPr>
          <w:rFonts w:ascii="Comic Sans MS" w:hAnsi="Comic Sans MS"/>
        </w:rPr>
        <w:t>The impact of different preferences and changes in those preferences will depend on the exporting structure of individual GSP beneficiary countries</w:t>
      </w:r>
      <w:r>
        <w:rPr>
          <w:rFonts w:ascii="Comic Sans MS" w:hAnsi="Comic Sans MS"/>
        </w:rPr>
        <w:t>.</w:t>
      </w:r>
      <w:r w:rsidRPr="00183DBE">
        <w:rPr>
          <w:rFonts w:ascii="Comic Sans MS" w:hAnsi="Comic Sans MS"/>
        </w:rPr>
        <w:t xml:space="preserve"> What might help poor beneficiary countries is not </w:t>
      </w:r>
      <w:r>
        <w:rPr>
          <w:rFonts w:ascii="Comic Sans MS" w:hAnsi="Comic Sans MS"/>
        </w:rPr>
        <w:t xml:space="preserve">the </w:t>
      </w:r>
      <w:r w:rsidRPr="00183DBE">
        <w:rPr>
          <w:rFonts w:ascii="Comic Sans MS" w:hAnsi="Comic Sans MS"/>
        </w:rPr>
        <w:t xml:space="preserve">shutting out </w:t>
      </w:r>
      <w:r>
        <w:rPr>
          <w:rFonts w:ascii="Comic Sans MS" w:hAnsi="Comic Sans MS"/>
        </w:rPr>
        <w:t xml:space="preserve">of other </w:t>
      </w:r>
      <w:r w:rsidRPr="00183DBE">
        <w:rPr>
          <w:rFonts w:ascii="Comic Sans MS" w:hAnsi="Comic Sans MS"/>
        </w:rPr>
        <w:t>beneficiaries</w:t>
      </w:r>
      <w:r>
        <w:rPr>
          <w:rFonts w:ascii="Comic Sans MS" w:hAnsi="Comic Sans MS"/>
        </w:rPr>
        <w:t xml:space="preserve">, </w:t>
      </w:r>
      <w:r w:rsidRPr="00183DBE">
        <w:rPr>
          <w:rFonts w:ascii="Comic Sans MS" w:hAnsi="Comic Sans MS"/>
        </w:rPr>
        <w:t xml:space="preserve">but </w:t>
      </w:r>
      <w:r>
        <w:rPr>
          <w:rFonts w:ascii="Comic Sans MS" w:hAnsi="Comic Sans MS"/>
        </w:rPr>
        <w:t xml:space="preserve">the </w:t>
      </w:r>
      <w:r w:rsidRPr="00183DBE">
        <w:rPr>
          <w:rFonts w:ascii="Comic Sans MS" w:hAnsi="Comic Sans MS"/>
        </w:rPr>
        <w:t xml:space="preserve">offering </w:t>
      </w:r>
      <w:r>
        <w:rPr>
          <w:rFonts w:ascii="Comic Sans MS" w:hAnsi="Comic Sans MS"/>
        </w:rPr>
        <w:t xml:space="preserve">of </w:t>
      </w:r>
      <w:r w:rsidRPr="00183DBE">
        <w:rPr>
          <w:rFonts w:ascii="Comic Sans MS" w:hAnsi="Comic Sans MS"/>
        </w:rPr>
        <w:t xml:space="preserve">improved preferences to the poor countries to help their exports to the EC, the paper observes, and encourages </w:t>
      </w:r>
      <w:r>
        <w:rPr>
          <w:rFonts w:ascii="Comic Sans MS" w:hAnsi="Comic Sans MS"/>
        </w:rPr>
        <w:t>GSP</w:t>
      </w:r>
      <w:r w:rsidRPr="00183DBE">
        <w:rPr>
          <w:rFonts w:ascii="Comic Sans MS" w:hAnsi="Comic Sans MS"/>
        </w:rPr>
        <w:t xml:space="preserve"> beneficiaries</w:t>
      </w:r>
      <w:r>
        <w:rPr>
          <w:rFonts w:ascii="Comic Sans MS" w:hAnsi="Comic Sans MS"/>
        </w:rPr>
        <w:t xml:space="preserve"> that include ACP Members</w:t>
      </w:r>
      <w:r w:rsidRPr="00183DBE">
        <w:rPr>
          <w:rFonts w:ascii="Comic Sans MS" w:hAnsi="Comic Sans MS"/>
        </w:rPr>
        <w:t xml:space="preserve"> to examine the details of the EC GSP scheme proposal</w:t>
      </w:r>
      <w:r>
        <w:t xml:space="preserve"> </w:t>
      </w:r>
      <w:r w:rsidRPr="00183DBE">
        <w:rPr>
          <w:rFonts w:ascii="Comic Sans MS" w:hAnsi="Comic Sans MS"/>
        </w:rPr>
        <w:t>so that the scheme does not r</w:t>
      </w:r>
      <w:r>
        <w:rPr>
          <w:rFonts w:ascii="Comic Sans MS" w:hAnsi="Comic Sans MS"/>
        </w:rPr>
        <w:t>emain preferences on paper</w:t>
      </w:r>
      <w:r w:rsidRPr="00183DBE">
        <w:rPr>
          <w:rFonts w:ascii="Comic Sans MS" w:hAnsi="Comic Sans MS"/>
        </w:rPr>
        <w:t xml:space="preserve">. </w:t>
      </w:r>
    </w:p>
    <w:p w:rsidR="002B60B7" w:rsidRDefault="002B60B7" w:rsidP="00CE7BF7">
      <w:pPr>
        <w:jc w:val="both"/>
        <w:rPr>
          <w:rFonts w:ascii="Comic Sans MS" w:hAnsi="Comic Sans MS"/>
          <w:sz w:val="28"/>
          <w:szCs w:val="28"/>
        </w:rPr>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8A6A1A">
      <w:pPr>
        <w:autoSpaceDE w:val="0"/>
        <w:autoSpaceDN w:val="0"/>
        <w:adjustRightInd w:val="0"/>
      </w:pPr>
    </w:p>
    <w:p w:rsidR="002B60B7" w:rsidRDefault="002B60B7" w:rsidP="000F51AF">
      <w:pPr>
        <w:pStyle w:val="Heading3"/>
        <w:numPr>
          <w:ilvl w:val="1"/>
          <w:numId w:val="3"/>
        </w:numPr>
        <w:rPr>
          <w:rFonts w:ascii="Comic Sans MS" w:hAnsi="Comic Sans MS"/>
          <w:sz w:val="28"/>
          <w:szCs w:val="28"/>
        </w:rPr>
      </w:pPr>
      <w:bookmarkStart w:id="2" w:name="_Toc295486233"/>
      <w:r>
        <w:rPr>
          <w:rFonts w:ascii="Comic Sans MS" w:hAnsi="Comic Sans MS"/>
          <w:sz w:val="28"/>
          <w:szCs w:val="28"/>
        </w:rPr>
        <w:lastRenderedPageBreak/>
        <w:t>Introduction</w:t>
      </w:r>
      <w:bookmarkEnd w:id="2"/>
    </w:p>
    <w:p w:rsidR="002B60B7" w:rsidRPr="00AF079C" w:rsidRDefault="002B60B7" w:rsidP="00E30445">
      <w:pPr>
        <w:jc w:val="both"/>
        <w:rPr>
          <w:rFonts w:ascii="Comic Sans MS" w:hAnsi="Comic Sans MS" w:cs="ArialMT"/>
          <w:sz w:val="28"/>
          <w:szCs w:val="28"/>
        </w:rPr>
      </w:pPr>
      <w:r>
        <w:rPr>
          <w:rFonts w:ascii="Comic Sans MS" w:hAnsi="Comic Sans MS" w:cs="ArialMT"/>
          <w:sz w:val="28"/>
          <w:szCs w:val="28"/>
        </w:rPr>
        <w:t>The European Commission (EC</w:t>
      </w:r>
      <w:r w:rsidRPr="00AF079C">
        <w:rPr>
          <w:rFonts w:ascii="Comic Sans MS" w:hAnsi="Comic Sans MS" w:cs="ArialMT"/>
          <w:sz w:val="28"/>
          <w:szCs w:val="28"/>
        </w:rPr>
        <w:t xml:space="preserve">) </w:t>
      </w:r>
      <w:r w:rsidRPr="00AF079C">
        <w:rPr>
          <w:rFonts w:ascii="Comic Sans MS" w:hAnsi="Comic Sans MS"/>
          <w:sz w:val="28"/>
          <w:szCs w:val="28"/>
        </w:rPr>
        <w:t xml:space="preserve">Proposal for a Regulation of the European Parliament and of the Council Applying a Scheme of </w:t>
      </w:r>
      <w:proofErr w:type="spellStart"/>
      <w:r w:rsidRPr="00AF079C">
        <w:rPr>
          <w:rFonts w:ascii="Comic Sans MS" w:hAnsi="Comic Sans MS"/>
          <w:sz w:val="28"/>
          <w:szCs w:val="28"/>
        </w:rPr>
        <w:t>Generalised</w:t>
      </w:r>
      <w:proofErr w:type="spellEnd"/>
      <w:r w:rsidRPr="00AF079C">
        <w:rPr>
          <w:rFonts w:ascii="Comic Sans MS" w:hAnsi="Comic Sans MS"/>
          <w:sz w:val="28"/>
          <w:szCs w:val="28"/>
        </w:rPr>
        <w:t xml:space="preserve"> Tariff Preferences</w:t>
      </w:r>
      <w:r w:rsidRPr="00AF079C">
        <w:rPr>
          <w:rFonts w:ascii="Comic Sans MS" w:hAnsi="Comic Sans MS" w:cs="ArialMT"/>
          <w:sz w:val="28"/>
          <w:szCs w:val="28"/>
        </w:rPr>
        <w:t xml:space="preserve"> </w:t>
      </w:r>
      <w:r>
        <w:rPr>
          <w:rFonts w:ascii="Comic Sans MS" w:hAnsi="Comic Sans MS" w:cs="ArialMT"/>
          <w:sz w:val="28"/>
          <w:szCs w:val="28"/>
        </w:rPr>
        <w:t>(the EC</w:t>
      </w:r>
      <w:r w:rsidRPr="00AF079C">
        <w:rPr>
          <w:rFonts w:ascii="Comic Sans MS" w:hAnsi="Comic Sans MS" w:cs="ArialMT"/>
          <w:sz w:val="28"/>
          <w:szCs w:val="28"/>
        </w:rPr>
        <w:t xml:space="preserve"> GSP scheme proposal) seeks to review the 2008 GSP Regulation which was due to have expired by the end of 2011, but will be given a new lease of life until the end of 2013. </w:t>
      </w:r>
      <w:r>
        <w:rPr>
          <w:rFonts w:ascii="Comic Sans MS" w:hAnsi="Comic Sans MS" w:cs="ArialMT"/>
          <w:sz w:val="28"/>
          <w:szCs w:val="28"/>
        </w:rPr>
        <w:t>The</w:t>
      </w:r>
      <w:r w:rsidRPr="00AF079C">
        <w:rPr>
          <w:rFonts w:ascii="Comic Sans MS" w:hAnsi="Comic Sans MS" w:cs="ArialMT"/>
          <w:sz w:val="28"/>
          <w:szCs w:val="28"/>
        </w:rPr>
        <w:t xml:space="preserve"> EU proposal seeks to put in place a new scheme by 2014.</w:t>
      </w:r>
    </w:p>
    <w:p w:rsidR="002B60B7" w:rsidRDefault="002B60B7" w:rsidP="00E30445">
      <w:pPr>
        <w:jc w:val="both"/>
        <w:rPr>
          <w:rFonts w:ascii="Comic Sans MS" w:hAnsi="Comic Sans MS"/>
          <w:sz w:val="28"/>
          <w:szCs w:val="28"/>
        </w:rPr>
      </w:pPr>
    </w:p>
    <w:p w:rsidR="002B60B7" w:rsidRDefault="002B60B7" w:rsidP="002C476F">
      <w:pPr>
        <w:pStyle w:val="BodyText"/>
        <w:numPr>
          <w:ilvl w:val="0"/>
          <w:numId w:val="0"/>
        </w:numPr>
        <w:rPr>
          <w:rFonts w:ascii="Comic Sans MS" w:hAnsi="Comic Sans MS"/>
          <w:sz w:val="28"/>
          <w:szCs w:val="28"/>
        </w:rPr>
      </w:pPr>
      <w:r>
        <w:rPr>
          <w:rFonts w:ascii="Comic Sans MS" w:hAnsi="Comic Sans MS"/>
          <w:sz w:val="28"/>
          <w:szCs w:val="28"/>
        </w:rPr>
        <w:t xml:space="preserve">A recap of the </w:t>
      </w:r>
      <w:r w:rsidRPr="0078384D">
        <w:rPr>
          <w:rFonts w:ascii="Comic Sans MS" w:hAnsi="Comic Sans MS"/>
          <w:sz w:val="28"/>
          <w:szCs w:val="28"/>
        </w:rPr>
        <w:t>Generali</w:t>
      </w:r>
      <w:r>
        <w:rPr>
          <w:rFonts w:ascii="Comic Sans MS" w:hAnsi="Comic Sans MS"/>
          <w:sz w:val="28"/>
          <w:szCs w:val="28"/>
        </w:rPr>
        <w:t>zed System of Preferences (GSP</w:t>
      </w:r>
      <w:r w:rsidRPr="0078384D">
        <w:rPr>
          <w:rFonts w:ascii="Comic Sans MS" w:hAnsi="Comic Sans MS"/>
          <w:sz w:val="28"/>
          <w:szCs w:val="28"/>
        </w:rPr>
        <w:t xml:space="preserve">) </w:t>
      </w:r>
      <w:r>
        <w:rPr>
          <w:rFonts w:ascii="Comic Sans MS" w:hAnsi="Comic Sans MS"/>
          <w:sz w:val="28"/>
          <w:szCs w:val="28"/>
        </w:rPr>
        <w:t xml:space="preserve">seems in order here so as to put the EC GSP scheme proposal in context. It is stated in the EC GSP scheme proposal that the </w:t>
      </w:r>
      <w:r w:rsidRPr="003F15E9">
        <w:rPr>
          <w:rFonts w:ascii="Comic Sans MS" w:hAnsi="Comic Sans MS"/>
          <w:sz w:val="28"/>
          <w:szCs w:val="28"/>
        </w:rPr>
        <w:t xml:space="preserve">GSP modalities </w:t>
      </w:r>
      <w:r>
        <w:rPr>
          <w:rFonts w:ascii="Comic Sans MS" w:hAnsi="Comic Sans MS"/>
          <w:sz w:val="28"/>
          <w:szCs w:val="28"/>
        </w:rPr>
        <w:t xml:space="preserve">proposed therein </w:t>
      </w:r>
      <w:r w:rsidRPr="003F15E9">
        <w:rPr>
          <w:rFonts w:ascii="Comic Sans MS" w:hAnsi="Comic Sans MS"/>
          <w:sz w:val="28"/>
          <w:szCs w:val="28"/>
        </w:rPr>
        <w:t>build on solutions that comply</w:t>
      </w:r>
      <w:r>
        <w:rPr>
          <w:rFonts w:ascii="Comic Sans MS" w:hAnsi="Comic Sans MS"/>
          <w:sz w:val="28"/>
          <w:szCs w:val="28"/>
        </w:rPr>
        <w:t xml:space="preserve"> </w:t>
      </w:r>
      <w:r w:rsidRPr="003F15E9">
        <w:rPr>
          <w:rFonts w:ascii="Comic Sans MS" w:hAnsi="Comic Sans MS"/>
          <w:sz w:val="28"/>
          <w:szCs w:val="28"/>
        </w:rPr>
        <w:t>with the requirements – in particular the Enabling Clause – of the World Trade Organisation,</w:t>
      </w:r>
      <w:r>
        <w:rPr>
          <w:rFonts w:ascii="Comic Sans MS" w:hAnsi="Comic Sans MS"/>
          <w:sz w:val="28"/>
          <w:szCs w:val="28"/>
        </w:rPr>
        <w:t xml:space="preserve"> </w:t>
      </w:r>
      <w:r w:rsidRPr="003F15E9">
        <w:rPr>
          <w:rFonts w:ascii="Comic Sans MS" w:hAnsi="Comic Sans MS"/>
          <w:sz w:val="28"/>
          <w:szCs w:val="28"/>
        </w:rPr>
        <w:t>and its objective to provide preferences to developing countries.</w:t>
      </w:r>
      <w:r>
        <w:rPr>
          <w:rStyle w:val="FootnoteReference"/>
          <w:rFonts w:ascii="Comic Sans MS" w:hAnsi="Comic Sans MS"/>
          <w:sz w:val="28"/>
          <w:szCs w:val="28"/>
        </w:rPr>
        <w:footnoteReference w:id="1"/>
      </w:r>
      <w:r>
        <w:rPr>
          <w:rFonts w:ascii="Comic Sans MS" w:hAnsi="Comic Sans MS"/>
          <w:sz w:val="28"/>
          <w:szCs w:val="28"/>
        </w:rPr>
        <w:t xml:space="preserve"> </w:t>
      </w:r>
    </w:p>
    <w:p w:rsidR="002B60B7" w:rsidRDefault="002B60B7" w:rsidP="000B29C8">
      <w:pPr>
        <w:jc w:val="both"/>
        <w:rPr>
          <w:rFonts w:ascii="Comic Sans MS" w:hAnsi="Comic Sans MS"/>
          <w:sz w:val="28"/>
          <w:szCs w:val="28"/>
        </w:rPr>
      </w:pPr>
      <w:r>
        <w:rPr>
          <w:rFonts w:ascii="Comic Sans MS" w:hAnsi="Comic Sans MS"/>
          <w:sz w:val="28"/>
          <w:szCs w:val="28"/>
        </w:rPr>
        <w:t xml:space="preserve">The GSP </w:t>
      </w:r>
      <w:r w:rsidRPr="0078384D">
        <w:rPr>
          <w:rFonts w:ascii="Comic Sans MS" w:hAnsi="Comic Sans MS"/>
          <w:sz w:val="28"/>
          <w:szCs w:val="28"/>
        </w:rPr>
        <w:t>has its origins in discussions that took place in the First Session of UNCTAD during the mid-1960s</w:t>
      </w:r>
      <w:r>
        <w:rPr>
          <w:rFonts w:ascii="Comic Sans MS" w:hAnsi="Comic Sans MS"/>
          <w:sz w:val="28"/>
          <w:szCs w:val="28"/>
        </w:rPr>
        <w:t>.</w:t>
      </w:r>
      <w:r w:rsidRPr="0078384D">
        <w:rPr>
          <w:rFonts w:ascii="Comic Sans MS" w:hAnsi="Comic Sans MS"/>
          <w:sz w:val="28"/>
          <w:szCs w:val="28"/>
        </w:rPr>
        <w:t xml:space="preserve"> During the Second</w:t>
      </w:r>
      <w:r>
        <w:rPr>
          <w:rFonts w:ascii="Comic Sans MS" w:hAnsi="Comic Sans MS"/>
          <w:sz w:val="28"/>
          <w:szCs w:val="28"/>
        </w:rPr>
        <w:t xml:space="preserve"> Session of UNCTAD, i</w:t>
      </w:r>
      <w:r w:rsidRPr="0078384D">
        <w:rPr>
          <w:rFonts w:ascii="Comic Sans MS" w:hAnsi="Comic Sans MS"/>
          <w:sz w:val="28"/>
          <w:szCs w:val="28"/>
        </w:rPr>
        <w:t xml:space="preserve">n March 1968, a Resolution was adopted on </w:t>
      </w:r>
      <w:r>
        <w:rPr>
          <w:rFonts w:ascii="Comic Sans MS" w:hAnsi="Comic Sans MS"/>
          <w:sz w:val="28"/>
          <w:szCs w:val="28"/>
        </w:rPr>
        <w:t xml:space="preserve">the </w:t>
      </w:r>
      <w:r w:rsidRPr="0078384D">
        <w:rPr>
          <w:rFonts w:ascii="Comic Sans MS" w:hAnsi="Comic Sans MS"/>
          <w:sz w:val="28"/>
          <w:szCs w:val="28"/>
        </w:rPr>
        <w:t>"Expansion and Diversification of Exports of Manufactures and Semi-manufactures of Developing Countries</w:t>
      </w:r>
      <w:r>
        <w:rPr>
          <w:rFonts w:ascii="Comic Sans MS" w:hAnsi="Comic Sans MS"/>
          <w:sz w:val="28"/>
          <w:szCs w:val="28"/>
        </w:rPr>
        <w:t>."</w:t>
      </w:r>
      <w:r>
        <w:rPr>
          <w:rStyle w:val="FootnoteReference"/>
          <w:rFonts w:ascii="Comic Sans MS" w:hAnsi="Comic Sans MS"/>
          <w:sz w:val="28"/>
          <w:szCs w:val="28"/>
        </w:rPr>
        <w:footnoteReference w:id="2"/>
      </w:r>
      <w:r w:rsidRPr="0078384D">
        <w:rPr>
          <w:rFonts w:ascii="Comic Sans MS" w:hAnsi="Comic Sans MS"/>
          <w:sz w:val="28"/>
          <w:szCs w:val="28"/>
        </w:rPr>
        <w:t xml:space="preserve">  In this Resolution, UNCTAD agreed to "the early establishment of a mutually acceptable system of generalized, non-reciprocal and non-discriminatory preferences which would be beneficial to the developing countries</w:t>
      </w:r>
      <w:r>
        <w:rPr>
          <w:rFonts w:ascii="Comic Sans MS" w:hAnsi="Comic Sans MS"/>
          <w:sz w:val="28"/>
          <w:szCs w:val="28"/>
        </w:rPr>
        <w:t>,</w:t>
      </w:r>
      <w:r w:rsidRPr="0078384D">
        <w:rPr>
          <w:rFonts w:ascii="Comic Sans MS" w:hAnsi="Comic Sans MS"/>
          <w:sz w:val="28"/>
          <w:szCs w:val="28"/>
        </w:rPr>
        <w:t xml:space="preserve">" and established a Special Committee on Preferences as a subsidiary organ of the Trade and Development </w:t>
      </w:r>
      <w:r w:rsidRPr="0078384D">
        <w:rPr>
          <w:rFonts w:ascii="Comic Sans MS" w:hAnsi="Comic Sans MS"/>
          <w:sz w:val="28"/>
          <w:szCs w:val="28"/>
        </w:rPr>
        <w:lastRenderedPageBreak/>
        <w:t>Board, with a mandate to settle the details of the GSP arrangements.</w:t>
      </w:r>
      <w:r>
        <w:rPr>
          <w:rStyle w:val="FootnoteReference"/>
          <w:rFonts w:ascii="Comic Sans MS" w:hAnsi="Comic Sans MS"/>
          <w:sz w:val="28"/>
          <w:szCs w:val="28"/>
        </w:rPr>
        <w:footnoteReference w:id="3"/>
      </w:r>
      <w:r w:rsidRPr="0078384D">
        <w:rPr>
          <w:rFonts w:ascii="Comic Sans MS" w:hAnsi="Comic Sans MS"/>
          <w:sz w:val="28"/>
          <w:szCs w:val="28"/>
        </w:rPr>
        <w:t xml:space="preserve">  </w:t>
      </w:r>
    </w:p>
    <w:p w:rsidR="002B60B7" w:rsidRDefault="002B60B7" w:rsidP="0078384D">
      <w:pPr>
        <w:jc w:val="both"/>
        <w:rPr>
          <w:rFonts w:ascii="Comic Sans MS" w:hAnsi="Comic Sans MS"/>
          <w:sz w:val="28"/>
          <w:szCs w:val="28"/>
        </w:rPr>
      </w:pPr>
    </w:p>
    <w:p w:rsidR="002B60B7" w:rsidRDefault="002B60B7" w:rsidP="00BB72F5">
      <w:pPr>
        <w:jc w:val="both"/>
        <w:rPr>
          <w:rFonts w:ascii="Comic Sans MS" w:hAnsi="Comic Sans MS"/>
          <w:sz w:val="28"/>
          <w:szCs w:val="28"/>
        </w:rPr>
      </w:pPr>
      <w:r w:rsidRPr="0078384D">
        <w:rPr>
          <w:rFonts w:ascii="Comic Sans MS" w:hAnsi="Comic Sans MS"/>
          <w:sz w:val="28"/>
          <w:szCs w:val="28"/>
        </w:rPr>
        <w:t xml:space="preserve">In 1970, UNCTAD's Special Committee on Preferences adopted Agreed Conclusions which set up the agreed details of the GSP arrangement.  UNCTAD's Trade and Development Board took note of these Agreed Conclusions on 13 October 1970.  In accordance with the Agreed Conclusions, certain developed GATT contracting parties sought a waiver for the GSP from the GATT Council.  The GATT granted a 10-year waiver on 25 June 1971.  Before the expiry of this waiver, the CONTRACTING PARTIES adopted a decision on "Differential and More </w:t>
      </w:r>
      <w:proofErr w:type="spellStart"/>
      <w:r w:rsidRPr="0078384D">
        <w:rPr>
          <w:rFonts w:ascii="Comic Sans MS" w:hAnsi="Comic Sans MS"/>
          <w:sz w:val="28"/>
          <w:szCs w:val="28"/>
        </w:rPr>
        <w:t>Favourable</w:t>
      </w:r>
      <w:proofErr w:type="spellEnd"/>
      <w:r w:rsidRPr="0078384D">
        <w:rPr>
          <w:rFonts w:ascii="Comic Sans MS" w:hAnsi="Comic Sans MS"/>
          <w:sz w:val="28"/>
          <w:szCs w:val="28"/>
        </w:rPr>
        <w:t xml:space="preserve"> Treatment, Reciprocity and Fuller Participation</w:t>
      </w:r>
      <w:r>
        <w:rPr>
          <w:rFonts w:ascii="Comic Sans MS" w:hAnsi="Comic Sans MS"/>
          <w:sz w:val="28"/>
          <w:szCs w:val="28"/>
        </w:rPr>
        <w:t xml:space="preserve"> of Developing Countries" (the </w:t>
      </w:r>
      <w:r w:rsidRPr="0078384D">
        <w:rPr>
          <w:rFonts w:ascii="Comic Sans MS" w:hAnsi="Comic Sans MS"/>
          <w:sz w:val="28"/>
          <w:szCs w:val="28"/>
        </w:rPr>
        <w:t>Enabling Clause) on 28 November 1979.</w:t>
      </w:r>
      <w:r>
        <w:rPr>
          <w:rStyle w:val="FootnoteReference"/>
          <w:rFonts w:ascii="Comic Sans MS" w:hAnsi="Comic Sans MS"/>
          <w:sz w:val="28"/>
          <w:szCs w:val="28"/>
        </w:rPr>
        <w:footnoteReference w:id="4"/>
      </w:r>
      <w:r w:rsidRPr="0078384D">
        <w:rPr>
          <w:rFonts w:ascii="Comic Sans MS" w:hAnsi="Comic Sans MS"/>
          <w:sz w:val="28"/>
          <w:szCs w:val="28"/>
        </w:rPr>
        <w:t xml:space="preserve">  </w:t>
      </w:r>
    </w:p>
    <w:p w:rsidR="002B60B7" w:rsidRDefault="002B60B7" w:rsidP="0094766A">
      <w:pPr>
        <w:autoSpaceDE w:val="0"/>
        <w:autoSpaceDN w:val="0"/>
        <w:adjustRightInd w:val="0"/>
        <w:jc w:val="both"/>
        <w:rPr>
          <w:rFonts w:ascii="Comic Sans MS" w:hAnsi="Comic Sans MS"/>
          <w:sz w:val="28"/>
          <w:szCs w:val="28"/>
        </w:rPr>
      </w:pPr>
    </w:p>
    <w:p w:rsidR="002B60B7" w:rsidRDefault="002B60B7" w:rsidP="001C2648">
      <w:pPr>
        <w:autoSpaceDE w:val="0"/>
        <w:autoSpaceDN w:val="0"/>
        <w:adjustRightInd w:val="0"/>
        <w:jc w:val="both"/>
        <w:rPr>
          <w:rFonts w:ascii="Comic Sans MS" w:hAnsi="Comic Sans MS"/>
          <w:sz w:val="28"/>
          <w:szCs w:val="28"/>
        </w:rPr>
      </w:pPr>
      <w:r w:rsidRPr="003B54A3">
        <w:rPr>
          <w:rFonts w:ascii="Comic Sans MS" w:hAnsi="Comic Sans MS"/>
          <w:sz w:val="28"/>
          <w:szCs w:val="28"/>
        </w:rPr>
        <w:t xml:space="preserve">The Enabling Clause is one of the most important instruments in the GATT and the WTO providing special and more </w:t>
      </w:r>
      <w:proofErr w:type="spellStart"/>
      <w:r w:rsidRPr="003B54A3">
        <w:rPr>
          <w:rFonts w:ascii="Comic Sans MS" w:hAnsi="Comic Sans MS"/>
          <w:sz w:val="28"/>
          <w:szCs w:val="28"/>
        </w:rPr>
        <w:t>favourable</w:t>
      </w:r>
      <w:proofErr w:type="spellEnd"/>
      <w:r w:rsidRPr="003B54A3">
        <w:rPr>
          <w:rFonts w:ascii="Comic Sans MS" w:hAnsi="Comic Sans MS"/>
          <w:sz w:val="28"/>
          <w:szCs w:val="28"/>
        </w:rPr>
        <w:t xml:space="preserve"> treatment for the developing countries.  WTO developing country Members often draw significant benefits from the operation of </w:t>
      </w:r>
      <w:r>
        <w:rPr>
          <w:rFonts w:ascii="Comic Sans MS" w:hAnsi="Comic Sans MS"/>
          <w:sz w:val="28"/>
          <w:szCs w:val="28"/>
        </w:rPr>
        <w:t xml:space="preserve">the </w:t>
      </w:r>
      <w:r w:rsidRPr="003B54A3">
        <w:rPr>
          <w:rFonts w:ascii="Comic Sans MS" w:hAnsi="Comic Sans MS"/>
          <w:sz w:val="28"/>
          <w:szCs w:val="28"/>
        </w:rPr>
        <w:t xml:space="preserve">GSP schemes of developed country Members.  The setting up of the GSP was greeted very positively by the GATT contracting parties as a whole.  </w:t>
      </w:r>
      <w:r w:rsidRPr="001C2648">
        <w:rPr>
          <w:rFonts w:ascii="Comic Sans MS" w:hAnsi="Comic Sans MS"/>
          <w:sz w:val="28"/>
          <w:szCs w:val="28"/>
        </w:rPr>
        <w:t>Against this background, it is important to be particularly cautious in the interpretation of the provisions of the Enabling Clause.</w:t>
      </w:r>
      <w:r w:rsidRPr="001C2648">
        <w:rPr>
          <w:rStyle w:val="FootnoteReference"/>
          <w:rFonts w:ascii="Comic Sans MS" w:hAnsi="Comic Sans MS"/>
          <w:sz w:val="28"/>
          <w:szCs w:val="28"/>
        </w:rPr>
        <w:footnoteReference w:id="5"/>
      </w:r>
      <w:r w:rsidRPr="001C2648">
        <w:rPr>
          <w:rFonts w:ascii="Comic Sans MS" w:hAnsi="Comic Sans MS"/>
          <w:sz w:val="28"/>
          <w:szCs w:val="28"/>
        </w:rPr>
        <w:t xml:space="preserve"> </w:t>
      </w:r>
      <w:r>
        <w:rPr>
          <w:rFonts w:ascii="Comic Sans MS" w:hAnsi="Comic Sans MS"/>
          <w:sz w:val="28"/>
          <w:szCs w:val="28"/>
        </w:rPr>
        <w:t xml:space="preserve">And the EC is no doubt aware of this, having been the first GATT member to initiate a GSP scheme following the UNCTAD decision. </w:t>
      </w:r>
    </w:p>
    <w:p w:rsidR="002B60B7" w:rsidRDefault="002B60B7" w:rsidP="001C2648">
      <w:pPr>
        <w:autoSpaceDE w:val="0"/>
        <w:autoSpaceDN w:val="0"/>
        <w:adjustRightInd w:val="0"/>
        <w:jc w:val="both"/>
        <w:rPr>
          <w:rFonts w:ascii="Comic Sans MS" w:hAnsi="Comic Sans MS"/>
          <w:sz w:val="28"/>
          <w:szCs w:val="28"/>
        </w:rPr>
      </w:pPr>
    </w:p>
    <w:p w:rsidR="002B60B7" w:rsidRDefault="002B60B7" w:rsidP="001C2648">
      <w:pPr>
        <w:autoSpaceDE w:val="0"/>
        <w:autoSpaceDN w:val="0"/>
        <w:adjustRightInd w:val="0"/>
        <w:jc w:val="both"/>
        <w:rPr>
          <w:rFonts w:ascii="Comic Sans MS" w:hAnsi="Comic Sans MS"/>
          <w:sz w:val="28"/>
          <w:szCs w:val="28"/>
        </w:rPr>
      </w:pPr>
    </w:p>
    <w:p w:rsidR="002B60B7" w:rsidRPr="00563B4F" w:rsidRDefault="002B60B7" w:rsidP="009267FC">
      <w:pPr>
        <w:pStyle w:val="BodyText"/>
        <w:numPr>
          <w:ilvl w:val="0"/>
          <w:numId w:val="0"/>
        </w:numPr>
        <w:rPr>
          <w:rFonts w:ascii="Comic Sans MS" w:hAnsi="Comic Sans MS"/>
          <w:sz w:val="28"/>
          <w:szCs w:val="28"/>
        </w:rPr>
      </w:pPr>
      <w:r>
        <w:rPr>
          <w:rFonts w:ascii="Comic Sans MS" w:hAnsi="Comic Sans MS"/>
          <w:sz w:val="28"/>
          <w:szCs w:val="28"/>
        </w:rPr>
        <w:lastRenderedPageBreak/>
        <w:t>It goes without saying that the EC</w:t>
      </w:r>
      <w:r w:rsidRPr="009267FC">
        <w:rPr>
          <w:rFonts w:ascii="Comic Sans MS" w:hAnsi="Comic Sans MS"/>
          <w:sz w:val="28"/>
          <w:szCs w:val="28"/>
        </w:rPr>
        <w:t xml:space="preserve"> GSP scheme proposal needs to maintain the basic principles and values of the Enabling Clause. This is important because as has been noted by others, although essentially conceived as a development tool meant to provide market access at preferential rate</w:t>
      </w:r>
      <w:r>
        <w:rPr>
          <w:rFonts w:ascii="Comic Sans MS" w:hAnsi="Comic Sans MS"/>
          <w:sz w:val="28"/>
          <w:szCs w:val="28"/>
        </w:rPr>
        <w:t>s</w:t>
      </w:r>
      <w:r w:rsidRPr="009267FC">
        <w:rPr>
          <w:rFonts w:ascii="Comic Sans MS" w:hAnsi="Comic Sans MS"/>
          <w:sz w:val="28"/>
          <w:szCs w:val="28"/>
        </w:rPr>
        <w:t xml:space="preserve"> </w:t>
      </w:r>
      <w:r w:rsidRPr="009267FC">
        <w:rPr>
          <w:rFonts w:ascii="Comic Sans MS" w:hAnsi="Comic Sans MS" w:cs="ArialMT"/>
          <w:sz w:val="28"/>
          <w:szCs w:val="28"/>
        </w:rPr>
        <w:t xml:space="preserve">to developing and least developed countries, the EU GSP </w:t>
      </w:r>
      <w:r>
        <w:rPr>
          <w:rFonts w:ascii="Comic Sans MS" w:hAnsi="Comic Sans MS" w:cs="ArialMT"/>
          <w:sz w:val="28"/>
          <w:szCs w:val="28"/>
        </w:rPr>
        <w:t xml:space="preserve">scheme </w:t>
      </w:r>
      <w:r w:rsidRPr="009267FC">
        <w:rPr>
          <w:rFonts w:ascii="Comic Sans MS" w:hAnsi="Comic Sans MS" w:cs="ArialMT"/>
          <w:sz w:val="28"/>
          <w:szCs w:val="28"/>
        </w:rPr>
        <w:t>has also served the purpose of promoting certain fu</w:t>
      </w:r>
      <w:r>
        <w:rPr>
          <w:rFonts w:ascii="Comic Sans MS" w:hAnsi="Comic Sans MS" w:cs="ArialMT"/>
          <w:sz w:val="28"/>
          <w:szCs w:val="28"/>
        </w:rPr>
        <w:t>ndamental values and principles</w:t>
      </w:r>
      <w:r w:rsidRPr="009267FC">
        <w:rPr>
          <w:rFonts w:ascii="Comic Sans MS" w:hAnsi="Comic Sans MS" w:cs="ArialMT"/>
          <w:sz w:val="28"/>
          <w:szCs w:val="28"/>
        </w:rPr>
        <w:t xml:space="preserve"> which the EU views as important.</w:t>
      </w:r>
      <w:r>
        <w:rPr>
          <w:rStyle w:val="FootnoteReference"/>
          <w:rFonts w:ascii="Comic Sans MS" w:hAnsi="Comic Sans MS" w:cs="ArialMT"/>
          <w:sz w:val="28"/>
          <w:szCs w:val="28"/>
        </w:rPr>
        <w:footnoteReference w:id="6"/>
      </w:r>
      <w:r>
        <w:rPr>
          <w:rFonts w:ascii="Comic Sans MS" w:hAnsi="Comic Sans MS" w:cs="ArialMT"/>
          <w:sz w:val="28"/>
          <w:szCs w:val="28"/>
        </w:rPr>
        <w:t xml:space="preserve"> </w:t>
      </w:r>
    </w:p>
    <w:p w:rsidR="002B60B7" w:rsidRDefault="002B60B7" w:rsidP="003F15E9">
      <w:pPr>
        <w:jc w:val="both"/>
        <w:rPr>
          <w:rFonts w:ascii="Comic Sans MS" w:hAnsi="Comic Sans MS"/>
          <w:sz w:val="28"/>
          <w:szCs w:val="28"/>
        </w:rPr>
      </w:pPr>
    </w:p>
    <w:p w:rsidR="002B60B7" w:rsidRPr="000F51AF" w:rsidRDefault="002B60B7" w:rsidP="000B0B2F">
      <w:pPr>
        <w:pStyle w:val="Heading3"/>
        <w:numPr>
          <w:ilvl w:val="1"/>
          <w:numId w:val="3"/>
        </w:numPr>
        <w:rPr>
          <w:rFonts w:ascii="Comic Sans MS" w:hAnsi="Comic Sans MS"/>
          <w:bCs/>
          <w:sz w:val="28"/>
        </w:rPr>
      </w:pPr>
      <w:bookmarkStart w:id="3" w:name="_Toc295486234"/>
      <w:r w:rsidRPr="000F51AF">
        <w:rPr>
          <w:rFonts w:ascii="Comic Sans MS" w:hAnsi="Comic Sans MS"/>
          <w:bCs/>
          <w:sz w:val="28"/>
        </w:rPr>
        <w:t>Unsubstantiated Claims</w:t>
      </w:r>
      <w:bookmarkEnd w:id="3"/>
    </w:p>
    <w:p w:rsidR="002B60B7" w:rsidRDefault="002B60B7" w:rsidP="00D519AD">
      <w:pPr>
        <w:jc w:val="both"/>
        <w:rPr>
          <w:rFonts w:ascii="Comic Sans MS" w:hAnsi="Comic Sans MS"/>
          <w:sz w:val="28"/>
          <w:szCs w:val="28"/>
        </w:rPr>
      </w:pPr>
      <w:r>
        <w:rPr>
          <w:rFonts w:ascii="Comic Sans MS" w:hAnsi="Comic Sans MS"/>
          <w:sz w:val="28"/>
          <w:szCs w:val="28"/>
        </w:rPr>
        <w:t xml:space="preserve">In the Explanatory Memorandum and the preamble of the proposed Regulation, the EC makes what can only be termed one-sided, unsubstantiated claims and statements regarding the trade and development of developing countries. It can be expected that the EC will argue that the CARIS Report provides all the needed evidence to back up the EC claims. But in several instances in </w:t>
      </w:r>
      <w:r w:rsidRPr="00D60591">
        <w:rPr>
          <w:rFonts w:ascii="Comic Sans MS" w:hAnsi="Comic Sans MS"/>
          <w:sz w:val="28"/>
          <w:szCs w:val="28"/>
        </w:rPr>
        <w:t xml:space="preserve">the EC </w:t>
      </w:r>
      <w:r>
        <w:rPr>
          <w:rFonts w:ascii="Comic Sans MS" w:hAnsi="Comic Sans MS"/>
          <w:sz w:val="28"/>
          <w:szCs w:val="28"/>
        </w:rPr>
        <w:t xml:space="preserve">GSP scheme proposal the EC </w:t>
      </w:r>
      <w:r w:rsidRPr="00D60591">
        <w:rPr>
          <w:rFonts w:ascii="Comic Sans MS" w:hAnsi="Comic Sans MS"/>
          <w:sz w:val="28"/>
          <w:szCs w:val="28"/>
        </w:rPr>
        <w:t>say</w:t>
      </w:r>
      <w:r>
        <w:rPr>
          <w:rFonts w:ascii="Comic Sans MS" w:hAnsi="Comic Sans MS"/>
          <w:sz w:val="28"/>
          <w:szCs w:val="28"/>
        </w:rPr>
        <w:t>s</w:t>
      </w:r>
      <w:r w:rsidRPr="00D60591">
        <w:rPr>
          <w:rFonts w:ascii="Comic Sans MS" w:hAnsi="Comic Sans MS"/>
          <w:sz w:val="28"/>
          <w:szCs w:val="28"/>
        </w:rPr>
        <w:t xml:space="preserve"> things that </w:t>
      </w:r>
      <w:r>
        <w:rPr>
          <w:rFonts w:ascii="Comic Sans MS" w:hAnsi="Comic Sans MS"/>
          <w:sz w:val="28"/>
          <w:szCs w:val="28"/>
        </w:rPr>
        <w:t xml:space="preserve">do </w:t>
      </w:r>
      <w:r w:rsidRPr="00D60591">
        <w:rPr>
          <w:rFonts w:ascii="Comic Sans MS" w:hAnsi="Comic Sans MS"/>
          <w:sz w:val="28"/>
          <w:szCs w:val="28"/>
        </w:rPr>
        <w:t xml:space="preserve">not </w:t>
      </w:r>
      <w:r>
        <w:rPr>
          <w:rFonts w:ascii="Comic Sans MS" w:hAnsi="Comic Sans MS"/>
          <w:sz w:val="28"/>
          <w:szCs w:val="28"/>
        </w:rPr>
        <w:t xml:space="preserve">appear to be </w:t>
      </w:r>
      <w:r w:rsidRPr="00D60591">
        <w:rPr>
          <w:rFonts w:ascii="Comic Sans MS" w:hAnsi="Comic Sans MS"/>
          <w:sz w:val="28"/>
          <w:szCs w:val="28"/>
        </w:rPr>
        <w:t xml:space="preserve">in tandem with the conclusions of the CARIS Report, but gives the impression that there is support for </w:t>
      </w:r>
      <w:r>
        <w:rPr>
          <w:rFonts w:ascii="Comic Sans MS" w:hAnsi="Comic Sans MS"/>
          <w:sz w:val="28"/>
          <w:szCs w:val="28"/>
        </w:rPr>
        <w:t xml:space="preserve">such </w:t>
      </w:r>
      <w:r w:rsidRPr="00D60591">
        <w:rPr>
          <w:rFonts w:ascii="Comic Sans MS" w:hAnsi="Comic Sans MS"/>
          <w:sz w:val="28"/>
          <w:szCs w:val="28"/>
        </w:rPr>
        <w:t>things in th</w:t>
      </w:r>
      <w:r>
        <w:rPr>
          <w:rFonts w:ascii="Comic Sans MS" w:hAnsi="Comic Sans MS"/>
          <w:sz w:val="28"/>
          <w:szCs w:val="28"/>
        </w:rPr>
        <w:t>at</w:t>
      </w:r>
      <w:r w:rsidRPr="00D60591">
        <w:rPr>
          <w:rFonts w:ascii="Comic Sans MS" w:hAnsi="Comic Sans MS"/>
          <w:sz w:val="28"/>
          <w:szCs w:val="28"/>
        </w:rPr>
        <w:t xml:space="preserve"> </w:t>
      </w:r>
      <w:r>
        <w:rPr>
          <w:rFonts w:ascii="Comic Sans MS" w:hAnsi="Comic Sans MS"/>
          <w:sz w:val="28"/>
          <w:szCs w:val="28"/>
        </w:rPr>
        <w:t>Report</w:t>
      </w:r>
      <w:r w:rsidRPr="00D60591">
        <w:rPr>
          <w:rFonts w:ascii="Comic Sans MS" w:hAnsi="Comic Sans MS"/>
          <w:sz w:val="28"/>
          <w:szCs w:val="28"/>
        </w:rPr>
        <w:t>.</w:t>
      </w:r>
    </w:p>
    <w:p w:rsidR="002B60B7" w:rsidRDefault="002B60B7" w:rsidP="001731A0">
      <w:pPr>
        <w:jc w:val="both"/>
        <w:rPr>
          <w:rFonts w:ascii="Comic Sans MS" w:hAnsi="Comic Sans MS"/>
          <w:sz w:val="28"/>
          <w:szCs w:val="28"/>
        </w:rPr>
      </w:pPr>
    </w:p>
    <w:p w:rsidR="002B60B7" w:rsidRPr="0094766A" w:rsidRDefault="002B60B7" w:rsidP="00007B16">
      <w:pPr>
        <w:autoSpaceDE w:val="0"/>
        <w:autoSpaceDN w:val="0"/>
        <w:adjustRightInd w:val="0"/>
        <w:jc w:val="both"/>
        <w:rPr>
          <w:sz w:val="28"/>
          <w:szCs w:val="28"/>
        </w:rPr>
      </w:pPr>
      <w:r w:rsidRPr="003F15E9">
        <w:rPr>
          <w:rFonts w:ascii="Comic Sans MS" w:hAnsi="Comic Sans MS"/>
          <w:sz w:val="28"/>
          <w:szCs w:val="28"/>
        </w:rPr>
        <w:t xml:space="preserve">The </w:t>
      </w:r>
      <w:r>
        <w:rPr>
          <w:rFonts w:ascii="Comic Sans MS" w:hAnsi="Comic Sans MS"/>
          <w:sz w:val="28"/>
          <w:szCs w:val="28"/>
        </w:rPr>
        <w:t xml:space="preserve">EC GSP scheme proposal </w:t>
      </w:r>
      <w:r w:rsidRPr="003F15E9">
        <w:rPr>
          <w:rFonts w:ascii="Comic Sans MS" w:hAnsi="Comic Sans MS"/>
          <w:sz w:val="28"/>
          <w:szCs w:val="28"/>
        </w:rPr>
        <w:t>consists of a general arrangement, and</w:t>
      </w:r>
      <w:r>
        <w:rPr>
          <w:rFonts w:ascii="Comic Sans MS" w:hAnsi="Comic Sans MS"/>
          <w:sz w:val="28"/>
          <w:szCs w:val="28"/>
        </w:rPr>
        <w:t xml:space="preserve"> </w:t>
      </w:r>
      <w:r w:rsidRPr="003F15E9">
        <w:rPr>
          <w:rFonts w:ascii="Comic Sans MS" w:hAnsi="Comic Sans MS"/>
          <w:sz w:val="28"/>
          <w:szCs w:val="28"/>
        </w:rPr>
        <w:t>two special arrangeme</w:t>
      </w:r>
      <w:r>
        <w:rPr>
          <w:rFonts w:ascii="Comic Sans MS" w:hAnsi="Comic Sans MS"/>
          <w:sz w:val="28"/>
          <w:szCs w:val="28"/>
        </w:rPr>
        <w:t>nts.</w:t>
      </w:r>
      <w:r>
        <w:rPr>
          <w:rStyle w:val="FootnoteReference"/>
          <w:rFonts w:ascii="Comic Sans MS" w:hAnsi="Comic Sans MS"/>
          <w:sz w:val="28"/>
          <w:szCs w:val="28"/>
        </w:rPr>
        <w:footnoteReference w:id="7"/>
      </w:r>
      <w:r>
        <w:rPr>
          <w:rFonts w:ascii="Comic Sans MS" w:hAnsi="Comic Sans MS"/>
          <w:sz w:val="28"/>
          <w:szCs w:val="28"/>
        </w:rPr>
        <w:t xml:space="preserve"> One of the two special arrangements is a </w:t>
      </w:r>
      <w:r w:rsidRPr="003F15E9">
        <w:rPr>
          <w:rFonts w:ascii="Comic Sans MS" w:hAnsi="Comic Sans MS"/>
          <w:sz w:val="28"/>
          <w:szCs w:val="28"/>
        </w:rPr>
        <w:t>special incentive arrangement for sustainable development and good</w:t>
      </w:r>
      <w:r>
        <w:rPr>
          <w:rFonts w:ascii="Comic Sans MS" w:hAnsi="Comic Sans MS"/>
          <w:sz w:val="28"/>
          <w:szCs w:val="28"/>
        </w:rPr>
        <w:t xml:space="preserve"> governance, while the other is </w:t>
      </w:r>
      <w:r w:rsidRPr="003F15E9">
        <w:rPr>
          <w:rFonts w:ascii="Comic Sans MS" w:hAnsi="Comic Sans MS"/>
          <w:sz w:val="28"/>
          <w:szCs w:val="28"/>
        </w:rPr>
        <w:t>a special arrangement for the least-developed countries</w:t>
      </w:r>
      <w:r>
        <w:rPr>
          <w:rFonts w:ascii="Comic Sans MS" w:hAnsi="Comic Sans MS"/>
          <w:sz w:val="28"/>
          <w:szCs w:val="28"/>
        </w:rPr>
        <w:t xml:space="preserve">, commonly known as the Everything </w:t>
      </w:r>
      <w:proofErr w:type="gramStart"/>
      <w:r>
        <w:rPr>
          <w:rFonts w:ascii="Comic Sans MS" w:hAnsi="Comic Sans MS"/>
          <w:sz w:val="28"/>
          <w:szCs w:val="28"/>
        </w:rPr>
        <w:t>But</w:t>
      </w:r>
      <w:proofErr w:type="gramEnd"/>
      <w:r>
        <w:rPr>
          <w:rFonts w:ascii="Comic Sans MS" w:hAnsi="Comic Sans MS"/>
          <w:sz w:val="28"/>
          <w:szCs w:val="28"/>
        </w:rPr>
        <w:t xml:space="preserve"> Arms initiative, (EBA)</w:t>
      </w:r>
      <w:r w:rsidRPr="003F15E9">
        <w:rPr>
          <w:rFonts w:ascii="Comic Sans MS" w:hAnsi="Comic Sans MS"/>
          <w:sz w:val="28"/>
          <w:szCs w:val="28"/>
        </w:rPr>
        <w:t>.</w:t>
      </w:r>
      <w:r>
        <w:rPr>
          <w:rFonts w:ascii="Comic Sans MS" w:hAnsi="Comic Sans MS"/>
          <w:sz w:val="28"/>
          <w:szCs w:val="28"/>
        </w:rPr>
        <w:t xml:space="preserve"> It is not without interest to note that t</w:t>
      </w:r>
      <w:r w:rsidRPr="000F51AF">
        <w:rPr>
          <w:rFonts w:ascii="Comic Sans MS" w:hAnsi="Comic Sans MS"/>
          <w:sz w:val="28"/>
          <w:szCs w:val="28"/>
        </w:rPr>
        <w:t xml:space="preserve">he EU </w:t>
      </w:r>
      <w:r>
        <w:rPr>
          <w:rFonts w:ascii="Comic Sans MS" w:hAnsi="Comic Sans MS"/>
          <w:sz w:val="28"/>
          <w:szCs w:val="28"/>
        </w:rPr>
        <w:t xml:space="preserve">2002-2004 </w:t>
      </w:r>
      <w:r w:rsidRPr="000F51AF">
        <w:rPr>
          <w:rFonts w:ascii="Comic Sans MS" w:hAnsi="Comic Sans MS"/>
          <w:sz w:val="28"/>
          <w:szCs w:val="28"/>
        </w:rPr>
        <w:t xml:space="preserve">GSP scheme </w:t>
      </w:r>
      <w:r>
        <w:rPr>
          <w:rFonts w:ascii="Comic Sans MS" w:hAnsi="Comic Sans MS"/>
          <w:sz w:val="28"/>
          <w:szCs w:val="28"/>
        </w:rPr>
        <w:t>provided</w:t>
      </w:r>
      <w:r w:rsidRPr="000F51AF">
        <w:rPr>
          <w:rFonts w:ascii="Comic Sans MS" w:hAnsi="Comic Sans MS"/>
          <w:sz w:val="28"/>
          <w:szCs w:val="28"/>
        </w:rPr>
        <w:t xml:space="preserve"> </w:t>
      </w:r>
      <w:r w:rsidRPr="000F51AF">
        <w:rPr>
          <w:rFonts w:ascii="Comic Sans MS" w:hAnsi="Comic Sans MS"/>
          <w:sz w:val="28"/>
          <w:szCs w:val="28"/>
        </w:rPr>
        <w:lastRenderedPageBreak/>
        <w:t>for five different tariff preference arrangements</w:t>
      </w:r>
      <w:r w:rsidRPr="000F51AF">
        <w:rPr>
          <w:rStyle w:val="FootnoteReference"/>
          <w:rFonts w:ascii="Comic Sans MS" w:hAnsi="Comic Sans MS"/>
          <w:sz w:val="28"/>
          <w:szCs w:val="28"/>
        </w:rPr>
        <w:footnoteReference w:id="8"/>
      </w:r>
      <w:r w:rsidRPr="000F51AF">
        <w:rPr>
          <w:rFonts w:ascii="Comic Sans MS" w:hAnsi="Comic Sans MS"/>
          <w:sz w:val="28"/>
          <w:szCs w:val="28"/>
        </w:rPr>
        <w:t xml:space="preserve"> consisting of</w:t>
      </w:r>
      <w:r>
        <w:rPr>
          <w:rFonts w:ascii="Comic Sans MS" w:hAnsi="Comic Sans MS"/>
          <w:sz w:val="28"/>
          <w:szCs w:val="28"/>
        </w:rPr>
        <w:t>, the general a</w:t>
      </w:r>
      <w:r w:rsidRPr="000F51AF">
        <w:rPr>
          <w:rFonts w:ascii="Comic Sans MS" w:hAnsi="Comic Sans MS"/>
          <w:sz w:val="28"/>
          <w:szCs w:val="28"/>
        </w:rPr>
        <w:t xml:space="preserve">rrangements; the </w:t>
      </w:r>
      <w:r>
        <w:rPr>
          <w:rFonts w:ascii="Comic Sans MS" w:hAnsi="Comic Sans MS"/>
          <w:sz w:val="28"/>
          <w:szCs w:val="28"/>
        </w:rPr>
        <w:t>special incentive a</w:t>
      </w:r>
      <w:r w:rsidRPr="000F51AF">
        <w:rPr>
          <w:rFonts w:ascii="Comic Sans MS" w:hAnsi="Comic Sans MS"/>
          <w:sz w:val="28"/>
          <w:szCs w:val="28"/>
        </w:rPr>
        <w:t xml:space="preserve">rrangements for the protection of </w:t>
      </w:r>
      <w:proofErr w:type="spellStart"/>
      <w:r w:rsidRPr="000F51AF">
        <w:rPr>
          <w:rFonts w:ascii="Comic Sans MS" w:hAnsi="Comic Sans MS"/>
          <w:sz w:val="28"/>
          <w:szCs w:val="28"/>
        </w:rPr>
        <w:t>labour</w:t>
      </w:r>
      <w:proofErr w:type="spellEnd"/>
      <w:r w:rsidRPr="000F51AF">
        <w:rPr>
          <w:rFonts w:ascii="Comic Sans MS" w:hAnsi="Comic Sans MS"/>
          <w:sz w:val="28"/>
          <w:szCs w:val="28"/>
        </w:rPr>
        <w:t xml:space="preserve"> rights;</w:t>
      </w:r>
      <w:r>
        <w:rPr>
          <w:rFonts w:ascii="Comic Sans MS" w:hAnsi="Comic Sans MS"/>
          <w:sz w:val="28"/>
          <w:szCs w:val="28"/>
        </w:rPr>
        <w:t xml:space="preserve"> the special incentive a</w:t>
      </w:r>
      <w:r w:rsidRPr="000F51AF">
        <w:rPr>
          <w:rFonts w:ascii="Comic Sans MS" w:hAnsi="Comic Sans MS"/>
          <w:sz w:val="28"/>
          <w:szCs w:val="28"/>
        </w:rPr>
        <w:t xml:space="preserve">rrangements for the protection of the environment; </w:t>
      </w:r>
      <w:r>
        <w:rPr>
          <w:rFonts w:ascii="Comic Sans MS" w:hAnsi="Comic Sans MS"/>
          <w:sz w:val="28"/>
          <w:szCs w:val="28"/>
        </w:rPr>
        <w:t>the s</w:t>
      </w:r>
      <w:r w:rsidRPr="000F51AF">
        <w:rPr>
          <w:rFonts w:ascii="Comic Sans MS" w:hAnsi="Comic Sans MS"/>
          <w:sz w:val="28"/>
          <w:szCs w:val="28"/>
        </w:rPr>
        <w:t>pecial</w:t>
      </w:r>
      <w:r>
        <w:rPr>
          <w:rFonts w:ascii="Comic Sans MS" w:hAnsi="Comic Sans MS"/>
          <w:sz w:val="28"/>
          <w:szCs w:val="28"/>
        </w:rPr>
        <w:t xml:space="preserve"> a</w:t>
      </w:r>
      <w:r w:rsidRPr="000F51AF">
        <w:rPr>
          <w:rFonts w:ascii="Comic Sans MS" w:hAnsi="Comic Sans MS"/>
          <w:sz w:val="28"/>
          <w:szCs w:val="28"/>
        </w:rPr>
        <w:t xml:space="preserve">rrangements </w:t>
      </w:r>
      <w:r>
        <w:rPr>
          <w:rFonts w:ascii="Comic Sans MS" w:hAnsi="Comic Sans MS"/>
          <w:sz w:val="28"/>
          <w:szCs w:val="28"/>
        </w:rPr>
        <w:t>for least</w:t>
      </w:r>
      <w:r>
        <w:rPr>
          <w:rFonts w:ascii="Comic Sans MS" w:hAnsi="Comic Sans MS"/>
          <w:sz w:val="28"/>
          <w:szCs w:val="28"/>
        </w:rPr>
        <w:noBreakHyphen/>
        <w:t xml:space="preserve">developed countries; </w:t>
      </w:r>
      <w:r w:rsidRPr="000F51AF">
        <w:rPr>
          <w:rFonts w:ascii="Comic Sans MS" w:hAnsi="Comic Sans MS"/>
          <w:sz w:val="28"/>
          <w:szCs w:val="28"/>
        </w:rPr>
        <w:t xml:space="preserve">and </w:t>
      </w:r>
      <w:r>
        <w:rPr>
          <w:rFonts w:ascii="Comic Sans MS" w:hAnsi="Comic Sans MS"/>
          <w:sz w:val="28"/>
          <w:szCs w:val="28"/>
        </w:rPr>
        <w:t>the special a</w:t>
      </w:r>
      <w:r w:rsidRPr="000F51AF">
        <w:rPr>
          <w:rFonts w:ascii="Comic Sans MS" w:hAnsi="Comic Sans MS"/>
          <w:sz w:val="28"/>
          <w:szCs w:val="28"/>
        </w:rPr>
        <w:t>rrangements to combat drug production and trafficking (the "Drug Arrangements").</w:t>
      </w:r>
      <w:r w:rsidRPr="000F51AF">
        <w:rPr>
          <w:rStyle w:val="FootnoteReference"/>
          <w:rFonts w:ascii="Comic Sans MS" w:hAnsi="Comic Sans MS"/>
          <w:sz w:val="28"/>
          <w:szCs w:val="28"/>
        </w:rPr>
        <w:footnoteReference w:id="9"/>
      </w:r>
      <w:r>
        <w:rPr>
          <w:rFonts w:ascii="Comic Sans MS" w:hAnsi="Comic Sans MS"/>
          <w:sz w:val="28"/>
          <w:szCs w:val="28"/>
        </w:rPr>
        <w:t xml:space="preserve"> The Panel and Appellate Body rulings in </w:t>
      </w:r>
      <w:r w:rsidRPr="0094766A">
        <w:rPr>
          <w:rFonts w:ascii="Comic Sans MS" w:hAnsi="Comic Sans MS"/>
          <w:i/>
          <w:sz w:val="28"/>
          <w:szCs w:val="28"/>
        </w:rPr>
        <w:t>European Communities – Conditions for Granting of Tariff Preferences to Developing Countries,</w:t>
      </w:r>
      <w:r>
        <w:rPr>
          <w:rFonts w:ascii="Comic Sans MS" w:hAnsi="Comic Sans MS"/>
          <w:i/>
          <w:sz w:val="28"/>
          <w:szCs w:val="28"/>
        </w:rPr>
        <w:t xml:space="preserve"> </w:t>
      </w:r>
      <w:r w:rsidRPr="00866E92">
        <w:rPr>
          <w:rFonts w:ascii="Comic Sans MS" w:hAnsi="Comic Sans MS"/>
          <w:sz w:val="28"/>
          <w:szCs w:val="28"/>
        </w:rPr>
        <w:t xml:space="preserve">no doubt </w:t>
      </w:r>
      <w:r>
        <w:rPr>
          <w:rFonts w:ascii="Comic Sans MS" w:hAnsi="Comic Sans MS"/>
          <w:sz w:val="28"/>
          <w:szCs w:val="28"/>
        </w:rPr>
        <w:t>contributed (as discussed in Part 5 hereunder) to the amendment of subsequent EU GSP schemes.</w:t>
      </w:r>
    </w:p>
    <w:p w:rsidR="002B60B7" w:rsidRPr="003F15E9" w:rsidRDefault="002B60B7" w:rsidP="00007B16">
      <w:pPr>
        <w:autoSpaceDE w:val="0"/>
        <w:autoSpaceDN w:val="0"/>
        <w:adjustRightInd w:val="0"/>
        <w:jc w:val="both"/>
        <w:rPr>
          <w:rFonts w:ascii="Comic Sans MS" w:hAnsi="Comic Sans MS"/>
          <w:sz w:val="28"/>
          <w:szCs w:val="28"/>
        </w:rPr>
      </w:pPr>
    </w:p>
    <w:p w:rsidR="002B60B7" w:rsidRPr="00F52EA2" w:rsidRDefault="002B60B7" w:rsidP="00007B16">
      <w:pPr>
        <w:pStyle w:val="Default"/>
        <w:jc w:val="both"/>
        <w:rPr>
          <w:rFonts w:ascii="Comic Sans MS" w:hAnsi="Comic Sans MS" w:cs="Times New Roman"/>
          <w:color w:val="auto"/>
          <w:sz w:val="28"/>
          <w:szCs w:val="28"/>
        </w:rPr>
      </w:pPr>
      <w:r w:rsidRPr="00F52EA2">
        <w:rPr>
          <w:rFonts w:ascii="Comic Sans MS" w:hAnsi="Comic Sans MS"/>
          <w:sz w:val="28"/>
          <w:szCs w:val="28"/>
        </w:rPr>
        <w:t xml:space="preserve">What the EC GSP scheme proposal seeks to achieve, the Explanatory Memorandum tells us, are three things; greater simplicity; predictability; and better targeting of the EC GSP scheme so as to </w:t>
      </w:r>
      <w:proofErr w:type="spellStart"/>
      <w:r w:rsidRPr="00F52EA2">
        <w:rPr>
          <w:rFonts w:ascii="Comic Sans MS" w:hAnsi="Comic Sans MS"/>
          <w:sz w:val="28"/>
          <w:szCs w:val="28"/>
        </w:rPr>
        <w:t>maximise</w:t>
      </w:r>
      <w:proofErr w:type="spellEnd"/>
      <w:r w:rsidRPr="00F52EA2">
        <w:rPr>
          <w:rFonts w:ascii="Comic Sans MS" w:hAnsi="Comic Sans MS"/>
          <w:sz w:val="28"/>
          <w:szCs w:val="28"/>
        </w:rPr>
        <w:t xml:space="preserve"> its effectiveness.</w:t>
      </w:r>
      <w:r w:rsidRPr="00F52EA2">
        <w:rPr>
          <w:rStyle w:val="FootnoteReference"/>
          <w:rFonts w:ascii="Comic Sans MS" w:hAnsi="Comic Sans MS" w:cs="Arial"/>
          <w:sz w:val="28"/>
          <w:szCs w:val="28"/>
        </w:rPr>
        <w:footnoteReference w:id="10"/>
      </w:r>
      <w:r w:rsidRPr="00F52EA2">
        <w:rPr>
          <w:rFonts w:ascii="Comic Sans MS" w:hAnsi="Comic Sans MS"/>
          <w:sz w:val="28"/>
          <w:szCs w:val="28"/>
        </w:rPr>
        <w:t xml:space="preserve"> But what the EC GSP scheme proposal appears to really seek to achieve is to restrict entry into the EU of exports from the so-called emerging economies for reasons other than the desire “to better reflect the contemporary global economic and trade landscape</w:t>
      </w:r>
      <w:r>
        <w:rPr>
          <w:rFonts w:ascii="Comic Sans MS" w:hAnsi="Comic Sans MS"/>
          <w:sz w:val="28"/>
          <w:szCs w:val="28"/>
        </w:rPr>
        <w:t>.”</w:t>
      </w:r>
      <w:r w:rsidRPr="00F52EA2">
        <w:rPr>
          <w:rStyle w:val="FootnoteReference"/>
          <w:rFonts w:ascii="Comic Sans MS" w:hAnsi="Comic Sans MS" w:cs="Arial"/>
          <w:sz w:val="28"/>
          <w:szCs w:val="28"/>
        </w:rPr>
        <w:footnoteReference w:id="11"/>
      </w:r>
      <w:r w:rsidRPr="00F52EA2">
        <w:rPr>
          <w:rFonts w:ascii="Comic Sans MS" w:hAnsi="Comic Sans MS"/>
          <w:sz w:val="28"/>
          <w:szCs w:val="28"/>
        </w:rPr>
        <w:t xml:space="preserve">   </w:t>
      </w:r>
      <w:r>
        <w:rPr>
          <w:rFonts w:ascii="Comic Sans MS" w:hAnsi="Comic Sans MS"/>
          <w:sz w:val="28"/>
          <w:szCs w:val="28"/>
        </w:rPr>
        <w:t>T</w:t>
      </w:r>
      <w:r w:rsidRPr="00F52EA2">
        <w:rPr>
          <w:rFonts w:ascii="Comic Sans MS" w:hAnsi="Comic Sans MS"/>
          <w:sz w:val="28"/>
          <w:szCs w:val="28"/>
        </w:rPr>
        <w:t xml:space="preserve">he CARIS Report tells us that for </w:t>
      </w:r>
      <w:r>
        <w:rPr>
          <w:rFonts w:ascii="Comic Sans MS" w:hAnsi="Comic Sans MS" w:cs="Times New Roman"/>
          <w:color w:val="auto"/>
          <w:sz w:val="28"/>
          <w:szCs w:val="28"/>
        </w:rPr>
        <w:t>most developing countries</w:t>
      </w:r>
      <w:r w:rsidRPr="00F52EA2">
        <w:rPr>
          <w:rFonts w:ascii="Comic Sans MS" w:hAnsi="Comic Sans MS" w:cs="Times New Roman"/>
          <w:color w:val="auto"/>
          <w:sz w:val="28"/>
          <w:szCs w:val="28"/>
        </w:rPr>
        <w:t xml:space="preserve"> “the majority of their exports do not go to the EU but to third countries” and that “for structural reasons the extent to which the EU via its preferential scheme can impact on these countries</w:t>
      </w:r>
      <w:r>
        <w:rPr>
          <w:rFonts w:ascii="Comic Sans MS" w:hAnsi="Comic Sans MS" w:cs="Times New Roman"/>
          <w:color w:val="auto"/>
          <w:sz w:val="28"/>
          <w:szCs w:val="28"/>
        </w:rPr>
        <w:t>’</w:t>
      </w:r>
      <w:r w:rsidRPr="00F52EA2">
        <w:rPr>
          <w:rFonts w:ascii="Comic Sans MS" w:hAnsi="Comic Sans MS" w:cs="Times New Roman"/>
          <w:color w:val="auto"/>
          <w:sz w:val="28"/>
          <w:szCs w:val="28"/>
        </w:rPr>
        <w:t xml:space="preserve"> total exports is constrained.”</w:t>
      </w:r>
      <w:r w:rsidRPr="00F52EA2">
        <w:rPr>
          <w:rStyle w:val="FootnoteReference"/>
          <w:rFonts w:ascii="Comic Sans MS" w:hAnsi="Comic Sans MS"/>
          <w:color w:val="auto"/>
          <w:sz w:val="28"/>
          <w:szCs w:val="28"/>
        </w:rPr>
        <w:footnoteReference w:id="12"/>
      </w:r>
      <w:r w:rsidRPr="00F52EA2">
        <w:rPr>
          <w:rFonts w:ascii="Comic Sans MS" w:hAnsi="Comic Sans MS" w:cs="Times New Roman"/>
          <w:color w:val="auto"/>
          <w:sz w:val="28"/>
          <w:szCs w:val="28"/>
        </w:rPr>
        <w:t xml:space="preserve"> </w:t>
      </w:r>
    </w:p>
    <w:p w:rsidR="002B60B7" w:rsidRDefault="002B60B7" w:rsidP="00007B16">
      <w:pPr>
        <w:autoSpaceDE w:val="0"/>
        <w:autoSpaceDN w:val="0"/>
        <w:adjustRightInd w:val="0"/>
        <w:jc w:val="both"/>
        <w:rPr>
          <w:rFonts w:ascii="Comic Sans MS" w:hAnsi="Comic Sans MS"/>
          <w:sz w:val="28"/>
          <w:szCs w:val="28"/>
        </w:rPr>
      </w:pPr>
    </w:p>
    <w:p w:rsidR="002B60B7" w:rsidRDefault="002B60B7" w:rsidP="00007B16">
      <w:pPr>
        <w:autoSpaceDE w:val="0"/>
        <w:autoSpaceDN w:val="0"/>
        <w:adjustRightInd w:val="0"/>
        <w:jc w:val="both"/>
        <w:rPr>
          <w:rFonts w:ascii="Comic Sans MS" w:hAnsi="Comic Sans MS"/>
          <w:sz w:val="28"/>
          <w:szCs w:val="28"/>
        </w:rPr>
      </w:pPr>
      <w:r>
        <w:rPr>
          <w:rFonts w:ascii="Comic Sans MS" w:hAnsi="Comic Sans MS"/>
          <w:sz w:val="28"/>
          <w:szCs w:val="28"/>
        </w:rPr>
        <w:lastRenderedPageBreak/>
        <w:t xml:space="preserve">In its </w:t>
      </w:r>
      <w:r w:rsidRPr="00F52EA2">
        <w:rPr>
          <w:rFonts w:ascii="Comic Sans MS" w:hAnsi="Comic Sans MS"/>
          <w:sz w:val="28"/>
          <w:szCs w:val="28"/>
        </w:rPr>
        <w:t xml:space="preserve">GSP scheme proposal </w:t>
      </w:r>
      <w:r>
        <w:rPr>
          <w:rFonts w:ascii="Comic Sans MS" w:hAnsi="Comic Sans MS"/>
          <w:sz w:val="28"/>
          <w:szCs w:val="28"/>
        </w:rPr>
        <w:t>the EC observes that “f</w:t>
      </w:r>
      <w:r w:rsidRPr="00F52EA2">
        <w:rPr>
          <w:rFonts w:ascii="Comic Sans MS" w:hAnsi="Comic Sans MS"/>
          <w:sz w:val="28"/>
          <w:szCs w:val="28"/>
        </w:rPr>
        <w:t>urthermore, the use of tariff preferences provided under the scheme by high-income or upper-middle income countries increases the competitive pressure on exports from poorer, more vulnerable countries and therefore could impose unjustifiable burden on those more vulnerable developing countries.”</w:t>
      </w:r>
      <w:r w:rsidRPr="00F52EA2">
        <w:rPr>
          <w:rStyle w:val="FootnoteReference"/>
          <w:rFonts w:ascii="Comic Sans MS" w:hAnsi="Comic Sans MS"/>
          <w:sz w:val="28"/>
          <w:szCs w:val="28"/>
        </w:rPr>
        <w:footnoteReference w:id="13"/>
      </w:r>
      <w:r w:rsidRPr="00F52EA2">
        <w:rPr>
          <w:rFonts w:ascii="Comic Sans MS" w:hAnsi="Comic Sans MS"/>
          <w:sz w:val="28"/>
          <w:szCs w:val="28"/>
        </w:rPr>
        <w:t xml:space="preserve"> Besides the fact that one could be forgiven for thinking that the EU is now the self-appointed spokesman for ‘poorer, more vulnerable’ developing countries, a</w:t>
      </w:r>
      <w:r>
        <w:rPr>
          <w:rFonts w:ascii="Comic Sans MS" w:hAnsi="Comic Sans MS"/>
          <w:sz w:val="28"/>
          <w:szCs w:val="28"/>
        </w:rPr>
        <w:t>mazingly, the CARIS R</w:t>
      </w:r>
      <w:r w:rsidRPr="00F52EA2">
        <w:rPr>
          <w:rFonts w:ascii="Comic Sans MS" w:hAnsi="Comic Sans MS"/>
          <w:sz w:val="28"/>
          <w:szCs w:val="28"/>
        </w:rPr>
        <w:t xml:space="preserve">eport does not say anything that could be </w:t>
      </w:r>
      <w:r>
        <w:rPr>
          <w:rFonts w:ascii="Comic Sans MS" w:hAnsi="Comic Sans MS"/>
          <w:sz w:val="28"/>
          <w:szCs w:val="28"/>
        </w:rPr>
        <w:t xml:space="preserve">interpreted as </w:t>
      </w:r>
      <w:r w:rsidRPr="00F52EA2">
        <w:rPr>
          <w:rFonts w:ascii="Comic Sans MS" w:hAnsi="Comic Sans MS"/>
          <w:sz w:val="28"/>
          <w:szCs w:val="28"/>
        </w:rPr>
        <w:t>support</w:t>
      </w:r>
      <w:r>
        <w:rPr>
          <w:rFonts w:ascii="Comic Sans MS" w:hAnsi="Comic Sans MS"/>
          <w:sz w:val="28"/>
          <w:szCs w:val="28"/>
        </w:rPr>
        <w:t>ing</w:t>
      </w:r>
      <w:r w:rsidRPr="00F52EA2">
        <w:rPr>
          <w:rFonts w:ascii="Comic Sans MS" w:hAnsi="Comic Sans MS"/>
          <w:sz w:val="28"/>
          <w:szCs w:val="28"/>
        </w:rPr>
        <w:t xml:space="preserve"> the assertion that  the use of tariff preferences provided under the scheme by high-income or upper-middle income countries increases the competitive pressure on exports from </w:t>
      </w:r>
      <w:r w:rsidRPr="00866E92">
        <w:rPr>
          <w:rFonts w:ascii="Comic Sans MS" w:hAnsi="Comic Sans MS"/>
          <w:i/>
          <w:sz w:val="28"/>
          <w:szCs w:val="28"/>
        </w:rPr>
        <w:t>all</w:t>
      </w:r>
      <w:r>
        <w:rPr>
          <w:rFonts w:ascii="Comic Sans MS" w:hAnsi="Comic Sans MS"/>
          <w:sz w:val="28"/>
          <w:szCs w:val="28"/>
        </w:rPr>
        <w:t xml:space="preserve"> </w:t>
      </w:r>
      <w:r w:rsidRPr="00F52EA2">
        <w:rPr>
          <w:rFonts w:ascii="Comic Sans MS" w:hAnsi="Comic Sans MS"/>
          <w:sz w:val="28"/>
          <w:szCs w:val="28"/>
        </w:rPr>
        <w:t>poorer, more vulnerable countries and therefore could impose unjustifiable burden on more vulnerable developing countries. To the contrary, the CARIS Report states that for each of the countries considered, the degree of similarity on average with other countries is typically very low, and that from the point of view of changing preferences impacting on other developing countries, this might suggest a comparatively low level of impact.</w:t>
      </w:r>
      <w:r w:rsidRPr="00F52EA2">
        <w:rPr>
          <w:rStyle w:val="FootnoteReference"/>
          <w:rFonts w:ascii="Comic Sans MS" w:hAnsi="Comic Sans MS"/>
          <w:sz w:val="28"/>
          <w:szCs w:val="28"/>
        </w:rPr>
        <w:footnoteReference w:id="14"/>
      </w:r>
      <w:r w:rsidRPr="00F52EA2">
        <w:rPr>
          <w:rFonts w:ascii="Comic Sans MS" w:hAnsi="Comic Sans MS"/>
          <w:sz w:val="28"/>
          <w:szCs w:val="28"/>
        </w:rPr>
        <w:t xml:space="preserve"> </w:t>
      </w:r>
    </w:p>
    <w:p w:rsidR="002B60B7" w:rsidRDefault="002B60B7" w:rsidP="000856CF">
      <w:pPr>
        <w:jc w:val="both"/>
        <w:rPr>
          <w:rFonts w:ascii="Comic Sans MS" w:hAnsi="Comic Sans MS"/>
          <w:sz w:val="28"/>
          <w:szCs w:val="28"/>
        </w:rPr>
      </w:pPr>
    </w:p>
    <w:p w:rsidR="002B60B7" w:rsidRDefault="002B60B7" w:rsidP="000856CF">
      <w:pPr>
        <w:jc w:val="both"/>
        <w:rPr>
          <w:rFonts w:ascii="Comic Sans MS" w:hAnsi="Comic Sans MS"/>
          <w:sz w:val="28"/>
          <w:szCs w:val="28"/>
        </w:rPr>
      </w:pPr>
      <w:r>
        <w:rPr>
          <w:rFonts w:ascii="Comic Sans MS" w:hAnsi="Comic Sans MS"/>
          <w:sz w:val="28"/>
          <w:szCs w:val="28"/>
        </w:rPr>
        <w:t>O</w:t>
      </w:r>
      <w:r w:rsidRPr="00007B16">
        <w:rPr>
          <w:rFonts w:ascii="Comic Sans MS" w:hAnsi="Comic Sans MS"/>
          <w:sz w:val="28"/>
          <w:szCs w:val="28"/>
        </w:rPr>
        <w:t xml:space="preserve">n the possible competitive pressure each country faces from </w:t>
      </w:r>
      <w:r>
        <w:rPr>
          <w:rFonts w:ascii="Comic Sans MS" w:hAnsi="Comic Sans MS"/>
          <w:sz w:val="28"/>
          <w:szCs w:val="28"/>
        </w:rPr>
        <w:t xml:space="preserve">other </w:t>
      </w:r>
      <w:r w:rsidRPr="00007B16">
        <w:rPr>
          <w:rFonts w:ascii="Comic Sans MS" w:hAnsi="Comic Sans MS"/>
          <w:sz w:val="28"/>
          <w:szCs w:val="28"/>
        </w:rPr>
        <w:t>countr</w:t>
      </w:r>
      <w:r>
        <w:rPr>
          <w:rFonts w:ascii="Comic Sans MS" w:hAnsi="Comic Sans MS"/>
          <w:sz w:val="28"/>
          <w:szCs w:val="28"/>
        </w:rPr>
        <w:t>ies</w:t>
      </w:r>
      <w:r w:rsidRPr="00007B16">
        <w:rPr>
          <w:rFonts w:ascii="Comic Sans MS" w:hAnsi="Comic Sans MS"/>
          <w:sz w:val="28"/>
          <w:szCs w:val="28"/>
        </w:rPr>
        <w:t xml:space="preserve"> by different category of trade – EBA, GSP, and GSP+, the analysis suggests that changing the preferences received by other GSP countries could have a significant impact on EBA exports into the EU market.</w:t>
      </w:r>
      <w:r w:rsidRPr="00007B16">
        <w:rPr>
          <w:rStyle w:val="FootnoteReference"/>
          <w:rFonts w:ascii="Comic Sans MS" w:hAnsi="Comic Sans MS"/>
          <w:sz w:val="28"/>
          <w:szCs w:val="28"/>
        </w:rPr>
        <w:footnoteReference w:id="15"/>
      </w:r>
      <w:r w:rsidRPr="00007B16">
        <w:rPr>
          <w:rFonts w:ascii="Comic Sans MS" w:hAnsi="Comic Sans MS"/>
          <w:sz w:val="28"/>
          <w:szCs w:val="28"/>
        </w:rPr>
        <w:t xml:space="preserve"> The analysis also suggests that for the GSP+ countries, the largest amount of pressure stems from other GSP countries. So as we can see, it is only the EBA and the few GSP+ plus countries whose exports on the EC market, from the trade category perspective, could be said to be </w:t>
      </w:r>
      <w:r w:rsidRPr="00007B16">
        <w:rPr>
          <w:rFonts w:ascii="Comic Sans MS" w:hAnsi="Comic Sans MS"/>
          <w:sz w:val="28"/>
          <w:szCs w:val="28"/>
        </w:rPr>
        <w:lastRenderedPageBreak/>
        <w:t>vulnerable</w:t>
      </w:r>
      <w:r>
        <w:rPr>
          <w:rFonts w:ascii="Comic Sans MS" w:hAnsi="Comic Sans MS"/>
          <w:sz w:val="28"/>
          <w:szCs w:val="28"/>
        </w:rPr>
        <w:t xml:space="preserve">. However, </w:t>
      </w:r>
      <w:r w:rsidRPr="00007B16">
        <w:rPr>
          <w:rFonts w:ascii="Comic Sans MS" w:hAnsi="Comic Sans MS"/>
          <w:sz w:val="28"/>
          <w:szCs w:val="28"/>
        </w:rPr>
        <w:t>the EC give</w:t>
      </w:r>
      <w:r>
        <w:rPr>
          <w:rFonts w:ascii="Comic Sans MS" w:hAnsi="Comic Sans MS"/>
          <w:sz w:val="28"/>
          <w:szCs w:val="28"/>
        </w:rPr>
        <w:t>s the impression that compe</w:t>
      </w:r>
      <w:r w:rsidRPr="00007B16">
        <w:rPr>
          <w:rFonts w:ascii="Comic Sans MS" w:hAnsi="Comic Sans MS"/>
          <w:sz w:val="28"/>
          <w:szCs w:val="28"/>
        </w:rPr>
        <w:t>titive pressu</w:t>
      </w:r>
      <w:r>
        <w:rPr>
          <w:rFonts w:ascii="Comic Sans MS" w:hAnsi="Comic Sans MS"/>
          <w:sz w:val="28"/>
          <w:szCs w:val="28"/>
        </w:rPr>
        <w:t>re</w:t>
      </w:r>
      <w:r w:rsidRPr="00007B16">
        <w:rPr>
          <w:rFonts w:ascii="Comic Sans MS" w:hAnsi="Comic Sans MS"/>
          <w:sz w:val="28"/>
          <w:szCs w:val="28"/>
        </w:rPr>
        <w:t xml:space="preserve">s </w:t>
      </w:r>
      <w:r>
        <w:rPr>
          <w:rFonts w:ascii="Comic Sans MS" w:hAnsi="Comic Sans MS"/>
          <w:sz w:val="28"/>
          <w:szCs w:val="28"/>
        </w:rPr>
        <w:t xml:space="preserve">from emerging economies </w:t>
      </w:r>
      <w:r w:rsidRPr="00007B16">
        <w:rPr>
          <w:rFonts w:ascii="Comic Sans MS" w:hAnsi="Comic Sans MS"/>
          <w:sz w:val="28"/>
          <w:szCs w:val="28"/>
        </w:rPr>
        <w:t xml:space="preserve">impose an “unjustifiable burden on those more vulnerable </w:t>
      </w:r>
      <w:r w:rsidRPr="00007B16">
        <w:rPr>
          <w:rFonts w:ascii="Comic Sans MS" w:hAnsi="Comic Sans MS"/>
          <w:i/>
          <w:sz w:val="28"/>
          <w:szCs w:val="28"/>
        </w:rPr>
        <w:t>developing countries</w:t>
      </w:r>
      <w:r>
        <w:rPr>
          <w:rFonts w:ascii="Comic Sans MS" w:hAnsi="Comic Sans MS"/>
          <w:sz w:val="28"/>
          <w:szCs w:val="28"/>
        </w:rPr>
        <w:t>.</w:t>
      </w:r>
      <w:r w:rsidRPr="00007B16">
        <w:rPr>
          <w:rFonts w:ascii="Comic Sans MS" w:hAnsi="Comic Sans MS"/>
          <w:sz w:val="28"/>
          <w:szCs w:val="28"/>
        </w:rPr>
        <w:t>”</w:t>
      </w:r>
    </w:p>
    <w:p w:rsidR="002B60B7" w:rsidRDefault="002B60B7" w:rsidP="00007B16">
      <w:pPr>
        <w:pStyle w:val="Default"/>
        <w:rPr>
          <w:sz w:val="22"/>
          <w:szCs w:val="22"/>
        </w:rPr>
      </w:pPr>
    </w:p>
    <w:p w:rsidR="002B60B7" w:rsidRPr="00CC4D8B" w:rsidRDefault="002B60B7" w:rsidP="00007B16">
      <w:pPr>
        <w:pStyle w:val="Default"/>
        <w:jc w:val="both"/>
        <w:rPr>
          <w:rFonts w:ascii="Comic Sans MS" w:hAnsi="Comic Sans MS"/>
          <w:sz w:val="28"/>
          <w:szCs w:val="28"/>
        </w:rPr>
      </w:pPr>
      <w:r w:rsidRPr="00CC4D8B">
        <w:rPr>
          <w:rFonts w:ascii="Comic Sans MS" w:hAnsi="Comic Sans MS"/>
          <w:sz w:val="28"/>
          <w:szCs w:val="28"/>
        </w:rPr>
        <w:t>On export similarity between countries and each of the preferential regimes, the CARIS Report states that EBA countries typically have the highest incidence of simi</w:t>
      </w:r>
      <w:r>
        <w:rPr>
          <w:rFonts w:ascii="Comic Sans MS" w:hAnsi="Comic Sans MS"/>
          <w:sz w:val="28"/>
          <w:szCs w:val="28"/>
        </w:rPr>
        <w:t>larity with other EBA countries</w:t>
      </w:r>
      <w:r w:rsidRPr="00CC4D8B">
        <w:rPr>
          <w:rFonts w:ascii="Comic Sans MS" w:hAnsi="Comic Sans MS"/>
          <w:sz w:val="28"/>
          <w:szCs w:val="28"/>
        </w:rPr>
        <w:t xml:space="preserve"> and</w:t>
      </w:r>
      <w:r>
        <w:rPr>
          <w:rFonts w:ascii="Comic Sans MS" w:hAnsi="Comic Sans MS"/>
          <w:sz w:val="28"/>
          <w:szCs w:val="28"/>
        </w:rPr>
        <w:t>,</w:t>
      </w:r>
      <w:r w:rsidRPr="00CC4D8B">
        <w:rPr>
          <w:rFonts w:ascii="Comic Sans MS" w:hAnsi="Comic Sans MS"/>
          <w:sz w:val="28"/>
          <w:szCs w:val="28"/>
        </w:rPr>
        <w:t xml:space="preserve"> similarly</w:t>
      </w:r>
      <w:r>
        <w:rPr>
          <w:rFonts w:ascii="Comic Sans MS" w:hAnsi="Comic Sans MS"/>
          <w:sz w:val="28"/>
          <w:szCs w:val="28"/>
        </w:rPr>
        <w:t>,</w:t>
      </w:r>
      <w:r w:rsidRPr="00CC4D8B">
        <w:rPr>
          <w:rFonts w:ascii="Comic Sans MS" w:hAnsi="Comic Sans MS"/>
          <w:sz w:val="28"/>
          <w:szCs w:val="28"/>
        </w:rPr>
        <w:t xml:space="preserve"> the GSP+ countries have the highest incidence of similarity with other GSP+ countries</w:t>
      </w:r>
      <w:r>
        <w:rPr>
          <w:rFonts w:ascii="Comic Sans MS" w:hAnsi="Comic Sans MS"/>
          <w:sz w:val="28"/>
          <w:szCs w:val="28"/>
        </w:rPr>
        <w:t>.</w:t>
      </w:r>
      <w:r w:rsidRPr="00CC4D8B">
        <w:rPr>
          <w:rFonts w:ascii="Comic Sans MS" w:hAnsi="Comic Sans MS"/>
          <w:sz w:val="28"/>
          <w:szCs w:val="28"/>
        </w:rPr>
        <w:t xml:space="preserve"> </w:t>
      </w:r>
    </w:p>
    <w:p w:rsidR="002B60B7" w:rsidRPr="00CC4D8B" w:rsidRDefault="002B60B7" w:rsidP="00007B16">
      <w:pPr>
        <w:autoSpaceDE w:val="0"/>
        <w:autoSpaceDN w:val="0"/>
        <w:adjustRightInd w:val="0"/>
        <w:jc w:val="both"/>
        <w:rPr>
          <w:rFonts w:ascii="Comic Sans MS" w:hAnsi="Comic Sans MS"/>
          <w:sz w:val="28"/>
          <w:szCs w:val="28"/>
        </w:rPr>
      </w:pPr>
    </w:p>
    <w:p w:rsidR="002B60B7" w:rsidRPr="0072191F" w:rsidRDefault="002B60B7" w:rsidP="00007B16">
      <w:pPr>
        <w:autoSpaceDE w:val="0"/>
        <w:autoSpaceDN w:val="0"/>
        <w:adjustRightInd w:val="0"/>
        <w:jc w:val="both"/>
        <w:rPr>
          <w:rFonts w:ascii="Comic Sans MS" w:hAnsi="Comic Sans MS"/>
          <w:sz w:val="28"/>
          <w:szCs w:val="28"/>
        </w:rPr>
      </w:pPr>
      <w:r w:rsidRPr="00CC4D8B">
        <w:rPr>
          <w:rFonts w:ascii="Comic Sans MS" w:hAnsi="Comic Sans MS"/>
          <w:sz w:val="28"/>
          <w:szCs w:val="28"/>
        </w:rPr>
        <w:t>The question must the</w:t>
      </w:r>
      <w:r>
        <w:rPr>
          <w:rFonts w:ascii="Comic Sans MS" w:hAnsi="Comic Sans MS"/>
          <w:sz w:val="28"/>
          <w:szCs w:val="28"/>
        </w:rPr>
        <w:t>n</w:t>
      </w:r>
      <w:r w:rsidRPr="00CC4D8B">
        <w:rPr>
          <w:rFonts w:ascii="Comic Sans MS" w:hAnsi="Comic Sans MS"/>
          <w:sz w:val="28"/>
          <w:szCs w:val="28"/>
        </w:rPr>
        <w:t xml:space="preserve"> be asked; on what basis does the EC state that the use of tariff preferences provided under the scheme by high-income or upper-middle income countries increases the competitive pressure on exports from poorer, more vulnerable countries and therefore could impose unjustifiable burden on those more vulnerable developing countries</w:t>
      </w:r>
      <w:r>
        <w:rPr>
          <w:rFonts w:ascii="Comic Sans MS" w:hAnsi="Comic Sans MS"/>
          <w:sz w:val="28"/>
          <w:szCs w:val="28"/>
        </w:rPr>
        <w:t xml:space="preserve">? It would appear more appropriate for the EC to design its GSP scheme </w:t>
      </w:r>
      <w:r w:rsidRPr="0072191F">
        <w:rPr>
          <w:rFonts w:ascii="Comic Sans MS" w:hAnsi="Comic Sans MS"/>
          <w:sz w:val="28"/>
          <w:szCs w:val="28"/>
        </w:rPr>
        <w:t xml:space="preserve">in response to </w:t>
      </w:r>
      <w:r>
        <w:rPr>
          <w:rFonts w:ascii="Comic Sans MS" w:hAnsi="Comic Sans MS"/>
          <w:sz w:val="28"/>
          <w:szCs w:val="28"/>
        </w:rPr>
        <w:t xml:space="preserve">developing countries’ self-established </w:t>
      </w:r>
      <w:r w:rsidRPr="0072191F">
        <w:rPr>
          <w:rFonts w:ascii="Comic Sans MS" w:hAnsi="Comic Sans MS"/>
          <w:sz w:val="28"/>
          <w:szCs w:val="28"/>
        </w:rPr>
        <w:t>and expressed needs,</w:t>
      </w:r>
      <w:r>
        <w:rPr>
          <w:rFonts w:ascii="Comic Sans MS" w:hAnsi="Comic Sans MS"/>
          <w:sz w:val="28"/>
          <w:szCs w:val="28"/>
        </w:rPr>
        <w:t xml:space="preserve"> not on the basis of the EC’s own perception.</w:t>
      </w:r>
    </w:p>
    <w:p w:rsidR="002B60B7" w:rsidRDefault="002B60B7" w:rsidP="00007B16">
      <w:pPr>
        <w:autoSpaceDE w:val="0"/>
        <w:autoSpaceDN w:val="0"/>
        <w:adjustRightInd w:val="0"/>
        <w:rPr>
          <w:sz w:val="22"/>
          <w:szCs w:val="22"/>
        </w:rPr>
      </w:pPr>
    </w:p>
    <w:p w:rsidR="002B60B7" w:rsidRPr="00007B16" w:rsidRDefault="002B60B7" w:rsidP="00007B16">
      <w:pPr>
        <w:autoSpaceDE w:val="0"/>
        <w:autoSpaceDN w:val="0"/>
        <w:adjustRightInd w:val="0"/>
        <w:jc w:val="both"/>
        <w:rPr>
          <w:rFonts w:ascii="Comic Sans MS" w:hAnsi="Comic Sans MS"/>
          <w:sz w:val="28"/>
          <w:szCs w:val="28"/>
        </w:rPr>
      </w:pPr>
      <w:r w:rsidRPr="00007B16">
        <w:rPr>
          <w:rFonts w:ascii="Comic Sans MS" w:hAnsi="Comic Sans MS"/>
          <w:sz w:val="28"/>
          <w:szCs w:val="28"/>
        </w:rPr>
        <w:t>What the CARIS Report also tells us is that the graduation of a country-sector combination is likely to have a positive impact on those countries competing in those same products, and that a detailed analysis would require a country by country consideration</w:t>
      </w:r>
      <w:r>
        <w:rPr>
          <w:rFonts w:ascii="Comic Sans MS" w:hAnsi="Comic Sans MS"/>
          <w:sz w:val="28"/>
          <w:szCs w:val="28"/>
        </w:rPr>
        <w:t>,</w:t>
      </w:r>
      <w:r w:rsidRPr="00007B16">
        <w:rPr>
          <w:rFonts w:ascii="Comic Sans MS" w:hAnsi="Comic Sans MS"/>
          <w:sz w:val="28"/>
          <w:szCs w:val="28"/>
        </w:rPr>
        <w:t xml:space="preserve"> which was outside the scope of th</w:t>
      </w:r>
      <w:r>
        <w:rPr>
          <w:rFonts w:ascii="Comic Sans MS" w:hAnsi="Comic Sans MS"/>
          <w:sz w:val="28"/>
          <w:szCs w:val="28"/>
        </w:rPr>
        <w:t>e</w:t>
      </w:r>
      <w:r w:rsidRPr="00007B16">
        <w:rPr>
          <w:rFonts w:ascii="Comic Sans MS" w:hAnsi="Comic Sans MS"/>
          <w:sz w:val="28"/>
          <w:szCs w:val="28"/>
        </w:rPr>
        <w:t xml:space="preserve"> study.  </w:t>
      </w:r>
      <w:r>
        <w:rPr>
          <w:rFonts w:ascii="Comic Sans MS" w:hAnsi="Comic Sans MS"/>
          <w:sz w:val="28"/>
          <w:szCs w:val="28"/>
        </w:rPr>
        <w:t>T</w:t>
      </w:r>
      <w:r w:rsidRPr="00007B16">
        <w:rPr>
          <w:rFonts w:ascii="Comic Sans MS" w:hAnsi="Comic Sans MS"/>
          <w:sz w:val="28"/>
          <w:szCs w:val="28"/>
        </w:rPr>
        <w:t xml:space="preserve">he report </w:t>
      </w:r>
      <w:r>
        <w:rPr>
          <w:rFonts w:ascii="Comic Sans MS" w:hAnsi="Comic Sans MS"/>
          <w:sz w:val="28"/>
          <w:szCs w:val="28"/>
        </w:rPr>
        <w:t>also observes that</w:t>
      </w:r>
      <w:r w:rsidRPr="00007B16">
        <w:rPr>
          <w:rFonts w:ascii="Comic Sans MS" w:hAnsi="Comic Sans MS"/>
          <w:sz w:val="28"/>
          <w:szCs w:val="28"/>
        </w:rPr>
        <w:t xml:space="preserve"> in aggregate</w:t>
      </w:r>
      <w:r>
        <w:rPr>
          <w:rFonts w:ascii="Comic Sans MS" w:hAnsi="Comic Sans MS"/>
          <w:sz w:val="28"/>
          <w:szCs w:val="28"/>
        </w:rPr>
        <w:t>,</w:t>
      </w:r>
      <w:r w:rsidRPr="00007B16">
        <w:rPr>
          <w:rFonts w:ascii="Comic Sans MS" w:hAnsi="Comic Sans MS"/>
          <w:sz w:val="28"/>
          <w:szCs w:val="28"/>
        </w:rPr>
        <w:t xml:space="preserve"> </w:t>
      </w:r>
      <w:r>
        <w:rPr>
          <w:rFonts w:ascii="Comic Sans MS" w:hAnsi="Comic Sans MS"/>
          <w:sz w:val="28"/>
          <w:szCs w:val="28"/>
        </w:rPr>
        <w:t xml:space="preserve">graduation </w:t>
      </w:r>
      <w:r w:rsidRPr="00007B16">
        <w:rPr>
          <w:rFonts w:ascii="Comic Sans MS" w:hAnsi="Comic Sans MS"/>
          <w:sz w:val="28"/>
          <w:szCs w:val="28"/>
        </w:rPr>
        <w:t xml:space="preserve">would </w:t>
      </w:r>
      <w:r>
        <w:rPr>
          <w:rFonts w:ascii="Comic Sans MS" w:hAnsi="Comic Sans MS"/>
          <w:sz w:val="28"/>
          <w:szCs w:val="28"/>
        </w:rPr>
        <w:t>“</w:t>
      </w:r>
      <w:r w:rsidRPr="00007B16">
        <w:rPr>
          <w:rFonts w:ascii="Comic Sans MS" w:hAnsi="Comic Sans MS"/>
          <w:sz w:val="28"/>
          <w:szCs w:val="28"/>
        </w:rPr>
        <w:t>appear to be a fairly crude or blunt way of helping those countries most in need.</w:t>
      </w:r>
      <w:r>
        <w:rPr>
          <w:rFonts w:ascii="Comic Sans MS" w:hAnsi="Comic Sans MS"/>
          <w:sz w:val="28"/>
          <w:szCs w:val="28"/>
        </w:rPr>
        <w:t>”</w:t>
      </w:r>
      <w:r w:rsidRPr="00007B16">
        <w:rPr>
          <w:rStyle w:val="FootnoteReference"/>
          <w:rFonts w:ascii="Comic Sans MS" w:hAnsi="Comic Sans MS"/>
          <w:sz w:val="28"/>
          <w:szCs w:val="28"/>
        </w:rPr>
        <w:footnoteReference w:id="16"/>
      </w:r>
    </w:p>
    <w:p w:rsidR="002B60B7" w:rsidRDefault="002B60B7" w:rsidP="00007B16">
      <w:pPr>
        <w:autoSpaceDE w:val="0"/>
        <w:autoSpaceDN w:val="0"/>
        <w:adjustRightInd w:val="0"/>
        <w:rPr>
          <w:sz w:val="22"/>
          <w:szCs w:val="22"/>
        </w:rPr>
      </w:pPr>
    </w:p>
    <w:p w:rsidR="002B60B7" w:rsidRDefault="002B60B7" w:rsidP="002D147C">
      <w:pPr>
        <w:jc w:val="both"/>
        <w:rPr>
          <w:rFonts w:ascii="Comic Sans MS" w:hAnsi="Comic Sans MS"/>
          <w:sz w:val="28"/>
          <w:szCs w:val="28"/>
        </w:rPr>
      </w:pPr>
      <w:r w:rsidRPr="00922D3E">
        <w:rPr>
          <w:rFonts w:ascii="Comic Sans MS" w:hAnsi="Comic Sans MS"/>
          <w:sz w:val="28"/>
          <w:szCs w:val="28"/>
        </w:rPr>
        <w:t xml:space="preserve">In the Explanatory Memorandum, without indicating the basis, the EC states that thanks to “increased trade”, “many developing </w:t>
      </w:r>
      <w:r w:rsidRPr="00922D3E">
        <w:rPr>
          <w:rFonts w:ascii="Comic Sans MS" w:hAnsi="Comic Sans MS"/>
          <w:sz w:val="28"/>
          <w:szCs w:val="28"/>
        </w:rPr>
        <w:lastRenderedPageBreak/>
        <w:t>countries” and export sectors have successfully integrated within the global marketplace.</w:t>
      </w:r>
      <w:r w:rsidRPr="00922D3E">
        <w:rPr>
          <w:rStyle w:val="FootnoteReference"/>
          <w:rFonts w:ascii="Comic Sans MS" w:hAnsi="Comic Sans MS"/>
          <w:sz w:val="28"/>
          <w:szCs w:val="28"/>
        </w:rPr>
        <w:footnoteReference w:id="17"/>
      </w:r>
      <w:r w:rsidRPr="00922D3E">
        <w:rPr>
          <w:rFonts w:ascii="Comic Sans MS" w:hAnsi="Comic Sans MS"/>
          <w:sz w:val="28"/>
          <w:szCs w:val="28"/>
        </w:rPr>
        <w:t xml:space="preserve"> ‘Many developing countries’ are unlikely to agree with the EU’s assessment. The EU then gets futuristic, even in this present climate of economic uncertainty; “In such cases, they (developing countries) are able to continue to expand unaided…”</w:t>
      </w:r>
      <w:r w:rsidRPr="00922D3E">
        <w:rPr>
          <w:rStyle w:val="FootnoteReference"/>
          <w:rFonts w:ascii="Comic Sans MS" w:hAnsi="Comic Sans MS"/>
          <w:sz w:val="28"/>
          <w:szCs w:val="28"/>
        </w:rPr>
        <w:footnoteReference w:id="18"/>
      </w:r>
      <w:r w:rsidRPr="00922D3E">
        <w:t xml:space="preserve"> </w:t>
      </w:r>
      <w:r>
        <w:rPr>
          <w:rFonts w:ascii="Comic Sans MS" w:hAnsi="Comic Sans MS"/>
          <w:sz w:val="28"/>
          <w:szCs w:val="28"/>
        </w:rPr>
        <w:t>Building on this claim, the Explanatory Memorandum states that, therefore, the proposal “ … i</w:t>
      </w:r>
      <w:r w:rsidRPr="003F15E9">
        <w:rPr>
          <w:rFonts w:ascii="Comic Sans MS" w:hAnsi="Comic Sans MS"/>
          <w:sz w:val="28"/>
          <w:szCs w:val="28"/>
        </w:rPr>
        <w:t>dentifies competitive imports and suspends unwarranted</w:t>
      </w:r>
      <w:r>
        <w:rPr>
          <w:rFonts w:ascii="Comic Sans MS" w:hAnsi="Comic Sans MS"/>
          <w:sz w:val="28"/>
          <w:szCs w:val="28"/>
        </w:rPr>
        <w:t xml:space="preserve"> </w:t>
      </w:r>
      <w:r w:rsidRPr="003F15E9">
        <w:rPr>
          <w:rFonts w:ascii="Comic Sans MS" w:hAnsi="Comic Sans MS"/>
          <w:sz w:val="28"/>
          <w:szCs w:val="28"/>
        </w:rPr>
        <w:t>preferences.</w:t>
      </w:r>
      <w:r>
        <w:rPr>
          <w:rFonts w:ascii="Comic Sans MS" w:hAnsi="Comic Sans MS"/>
          <w:sz w:val="28"/>
          <w:szCs w:val="28"/>
        </w:rPr>
        <w:t>”</w:t>
      </w:r>
      <w:r>
        <w:rPr>
          <w:rStyle w:val="FootnoteReference"/>
          <w:rFonts w:ascii="Comic Sans MS" w:hAnsi="Comic Sans MS"/>
          <w:sz w:val="28"/>
          <w:szCs w:val="28"/>
        </w:rPr>
        <w:footnoteReference w:id="19"/>
      </w:r>
      <w:r>
        <w:rPr>
          <w:rFonts w:ascii="Comic Sans MS" w:hAnsi="Comic Sans MS"/>
          <w:sz w:val="28"/>
          <w:szCs w:val="28"/>
        </w:rPr>
        <w:t xml:space="preserve"> </w:t>
      </w:r>
      <w:proofErr w:type="gramStart"/>
      <w:r>
        <w:rPr>
          <w:rFonts w:ascii="Comic Sans MS" w:hAnsi="Comic Sans MS"/>
          <w:sz w:val="28"/>
          <w:szCs w:val="28"/>
        </w:rPr>
        <w:t>Again, debatable.</w:t>
      </w:r>
      <w:proofErr w:type="gramEnd"/>
      <w:r>
        <w:rPr>
          <w:rFonts w:ascii="Comic Sans MS" w:hAnsi="Comic Sans MS"/>
          <w:sz w:val="28"/>
          <w:szCs w:val="28"/>
        </w:rPr>
        <w:t xml:space="preserve">  </w:t>
      </w:r>
    </w:p>
    <w:p w:rsidR="002B60B7" w:rsidRDefault="002B60B7" w:rsidP="002D147C">
      <w:pPr>
        <w:jc w:val="both"/>
        <w:rPr>
          <w:rFonts w:ascii="Comic Sans MS" w:hAnsi="Comic Sans MS"/>
          <w:sz w:val="28"/>
          <w:szCs w:val="28"/>
        </w:rPr>
      </w:pPr>
    </w:p>
    <w:p w:rsidR="002B60B7" w:rsidRDefault="002B60B7" w:rsidP="002D147C">
      <w:pPr>
        <w:jc w:val="both"/>
        <w:rPr>
          <w:rFonts w:ascii="Comic Sans MS" w:hAnsi="Comic Sans MS"/>
          <w:sz w:val="28"/>
          <w:szCs w:val="28"/>
        </w:rPr>
      </w:pPr>
      <w:r>
        <w:rPr>
          <w:rFonts w:ascii="Comic Sans MS" w:hAnsi="Comic Sans MS"/>
          <w:sz w:val="28"/>
          <w:szCs w:val="28"/>
        </w:rPr>
        <w:t>The EU takes it as given, without any substantiation, that c</w:t>
      </w:r>
      <w:r w:rsidRPr="003F15E9">
        <w:rPr>
          <w:rFonts w:ascii="Comic Sans MS" w:hAnsi="Comic Sans MS"/>
          <w:sz w:val="28"/>
          <w:szCs w:val="28"/>
        </w:rPr>
        <w:t>ountries which are classified by the World Bank as high-income or upper-middle</w:t>
      </w:r>
      <w:r>
        <w:rPr>
          <w:rFonts w:ascii="Comic Sans MS" w:hAnsi="Comic Sans MS"/>
          <w:sz w:val="28"/>
          <w:szCs w:val="28"/>
        </w:rPr>
        <w:t xml:space="preserve"> </w:t>
      </w:r>
      <w:r w:rsidRPr="003F15E9">
        <w:rPr>
          <w:rFonts w:ascii="Comic Sans MS" w:hAnsi="Comic Sans MS"/>
          <w:sz w:val="28"/>
          <w:szCs w:val="28"/>
        </w:rPr>
        <w:t xml:space="preserve">income countries have per capita income levels </w:t>
      </w:r>
      <w:r w:rsidRPr="00DD33DC">
        <w:rPr>
          <w:rFonts w:ascii="Comic Sans MS" w:hAnsi="Comic Sans MS"/>
          <w:i/>
          <w:sz w:val="28"/>
          <w:szCs w:val="28"/>
        </w:rPr>
        <w:t>allowing them to attain higher levels of diversification without the scheme’s tariff preferences</w:t>
      </w:r>
      <w:r>
        <w:rPr>
          <w:rFonts w:ascii="Comic Sans MS" w:hAnsi="Comic Sans MS"/>
          <w:sz w:val="28"/>
          <w:szCs w:val="28"/>
        </w:rPr>
        <w:t>,</w:t>
      </w:r>
      <w:r w:rsidRPr="003F15E9">
        <w:rPr>
          <w:rFonts w:ascii="Comic Sans MS" w:hAnsi="Comic Sans MS"/>
          <w:sz w:val="28"/>
          <w:szCs w:val="28"/>
        </w:rPr>
        <w:t xml:space="preserve"> </w:t>
      </w:r>
      <w:r w:rsidRPr="00DD33DC">
        <w:rPr>
          <w:rFonts w:ascii="Comic Sans MS" w:hAnsi="Comic Sans MS"/>
        </w:rPr>
        <w:t>(emphasis added)</w:t>
      </w:r>
      <w:r>
        <w:rPr>
          <w:rFonts w:ascii="Comic Sans MS" w:hAnsi="Comic Sans MS"/>
          <w:sz w:val="28"/>
          <w:szCs w:val="28"/>
        </w:rPr>
        <w:t xml:space="preserve"> </w:t>
      </w:r>
      <w:r w:rsidRPr="003F15E9">
        <w:rPr>
          <w:rFonts w:ascii="Comic Sans MS" w:hAnsi="Comic Sans MS"/>
          <w:sz w:val="28"/>
          <w:szCs w:val="28"/>
        </w:rPr>
        <w:t>and include economies which</w:t>
      </w:r>
      <w:r>
        <w:rPr>
          <w:rFonts w:ascii="Comic Sans MS" w:hAnsi="Comic Sans MS"/>
          <w:sz w:val="28"/>
          <w:szCs w:val="28"/>
        </w:rPr>
        <w:t xml:space="preserve"> </w:t>
      </w:r>
      <w:r w:rsidRPr="003F15E9">
        <w:rPr>
          <w:rFonts w:ascii="Comic Sans MS" w:hAnsi="Comic Sans MS"/>
          <w:sz w:val="28"/>
          <w:szCs w:val="28"/>
        </w:rPr>
        <w:t xml:space="preserve">have successfully completed their transition from </w:t>
      </w:r>
      <w:proofErr w:type="spellStart"/>
      <w:r w:rsidRPr="003F15E9">
        <w:rPr>
          <w:rFonts w:ascii="Comic Sans MS" w:hAnsi="Comic Sans MS"/>
          <w:sz w:val="28"/>
          <w:szCs w:val="28"/>
        </w:rPr>
        <w:t>centralised</w:t>
      </w:r>
      <w:proofErr w:type="spellEnd"/>
      <w:r w:rsidRPr="003F15E9">
        <w:rPr>
          <w:rFonts w:ascii="Comic Sans MS" w:hAnsi="Comic Sans MS"/>
          <w:sz w:val="28"/>
          <w:szCs w:val="28"/>
        </w:rPr>
        <w:t xml:space="preserve"> to market economies.</w:t>
      </w:r>
      <w:r>
        <w:rPr>
          <w:rStyle w:val="FootnoteReference"/>
          <w:rFonts w:ascii="Comic Sans MS" w:hAnsi="Comic Sans MS"/>
          <w:sz w:val="28"/>
          <w:szCs w:val="28"/>
        </w:rPr>
        <w:footnoteReference w:id="20"/>
      </w:r>
      <w:r>
        <w:rPr>
          <w:rFonts w:ascii="Comic Sans MS" w:hAnsi="Comic Sans MS"/>
          <w:sz w:val="28"/>
          <w:szCs w:val="28"/>
        </w:rPr>
        <w:t xml:space="preserve"> And, according to the EC, “t</w:t>
      </w:r>
      <w:r w:rsidRPr="003F15E9">
        <w:rPr>
          <w:rFonts w:ascii="Comic Sans MS" w:hAnsi="Comic Sans MS"/>
          <w:sz w:val="28"/>
          <w:szCs w:val="28"/>
        </w:rPr>
        <w:t>hose countries do not share the same development, trade and financial needs as the</w:t>
      </w:r>
      <w:r>
        <w:rPr>
          <w:rFonts w:ascii="Comic Sans MS" w:hAnsi="Comic Sans MS"/>
          <w:sz w:val="28"/>
          <w:szCs w:val="28"/>
        </w:rPr>
        <w:t xml:space="preserve"> </w:t>
      </w:r>
      <w:r w:rsidRPr="003F15E9">
        <w:rPr>
          <w:rFonts w:ascii="Comic Sans MS" w:hAnsi="Comic Sans MS"/>
          <w:sz w:val="28"/>
          <w:szCs w:val="28"/>
        </w:rPr>
        <w:t>remaining developing countries; they are at a different stage of economic</w:t>
      </w:r>
      <w:r>
        <w:rPr>
          <w:rFonts w:ascii="Comic Sans MS" w:hAnsi="Comic Sans MS"/>
          <w:sz w:val="28"/>
          <w:szCs w:val="28"/>
        </w:rPr>
        <w:t xml:space="preserve"> </w:t>
      </w:r>
      <w:r w:rsidRPr="003F15E9">
        <w:rPr>
          <w:rFonts w:ascii="Comic Sans MS" w:hAnsi="Comic Sans MS"/>
          <w:sz w:val="28"/>
          <w:szCs w:val="28"/>
        </w:rPr>
        <w:t xml:space="preserve">development, </w:t>
      </w:r>
      <w:proofErr w:type="spellStart"/>
      <w:r w:rsidRPr="003F15E9">
        <w:rPr>
          <w:rFonts w:ascii="Comic Sans MS" w:hAnsi="Comic Sans MS"/>
          <w:sz w:val="28"/>
          <w:szCs w:val="28"/>
        </w:rPr>
        <w:t>i.e</w:t>
      </w:r>
      <w:proofErr w:type="spellEnd"/>
      <w:r w:rsidRPr="003F15E9">
        <w:rPr>
          <w:rFonts w:ascii="Comic Sans MS" w:hAnsi="Comic Sans MS"/>
          <w:sz w:val="28"/>
          <w:szCs w:val="28"/>
        </w:rPr>
        <w:t xml:space="preserve"> they are not similarly-situated as the more vulnerable developing</w:t>
      </w:r>
      <w:r>
        <w:rPr>
          <w:rFonts w:ascii="Comic Sans MS" w:hAnsi="Comic Sans MS"/>
          <w:sz w:val="28"/>
          <w:szCs w:val="28"/>
        </w:rPr>
        <w:t xml:space="preserve"> </w:t>
      </w:r>
      <w:r w:rsidRPr="003F15E9">
        <w:rPr>
          <w:rFonts w:ascii="Comic Sans MS" w:hAnsi="Comic Sans MS"/>
          <w:sz w:val="28"/>
          <w:szCs w:val="28"/>
        </w:rPr>
        <w:t>countries; and, so as to prevent unjustified discrimination, they need to be treated</w:t>
      </w:r>
      <w:r>
        <w:rPr>
          <w:rFonts w:ascii="Comic Sans MS" w:hAnsi="Comic Sans MS"/>
          <w:sz w:val="28"/>
          <w:szCs w:val="28"/>
        </w:rPr>
        <w:t xml:space="preserve"> </w:t>
      </w:r>
      <w:r w:rsidRPr="003F15E9">
        <w:rPr>
          <w:rFonts w:ascii="Comic Sans MS" w:hAnsi="Comic Sans MS"/>
          <w:sz w:val="28"/>
          <w:szCs w:val="28"/>
        </w:rPr>
        <w:t>differently.</w:t>
      </w:r>
      <w:r>
        <w:rPr>
          <w:rFonts w:ascii="Comic Sans MS" w:hAnsi="Comic Sans MS"/>
          <w:sz w:val="28"/>
          <w:szCs w:val="28"/>
        </w:rPr>
        <w:t>”</w:t>
      </w:r>
      <w:r>
        <w:rPr>
          <w:rStyle w:val="FootnoteReference"/>
          <w:rFonts w:ascii="Comic Sans MS" w:hAnsi="Comic Sans MS"/>
          <w:sz w:val="28"/>
          <w:szCs w:val="28"/>
        </w:rPr>
        <w:footnoteReference w:id="21"/>
      </w:r>
      <w:r>
        <w:rPr>
          <w:rFonts w:ascii="Comic Sans MS" w:hAnsi="Comic Sans MS"/>
          <w:sz w:val="28"/>
          <w:szCs w:val="28"/>
        </w:rPr>
        <w:t xml:space="preserve"> </w:t>
      </w:r>
    </w:p>
    <w:p w:rsidR="002B60B7" w:rsidRDefault="002B60B7" w:rsidP="001731A0">
      <w:pPr>
        <w:pStyle w:val="Default"/>
        <w:rPr>
          <w:rFonts w:cs="Times New Roman"/>
          <w:color w:val="auto"/>
          <w:sz w:val="22"/>
          <w:szCs w:val="22"/>
        </w:rPr>
      </w:pPr>
    </w:p>
    <w:p w:rsidR="002B60B7" w:rsidRPr="00051FFC" w:rsidRDefault="002B60B7" w:rsidP="00CE7BF7">
      <w:pPr>
        <w:jc w:val="both"/>
        <w:rPr>
          <w:rFonts w:ascii="Comic Sans MS" w:hAnsi="Comic Sans MS"/>
          <w:sz w:val="28"/>
          <w:szCs w:val="28"/>
        </w:rPr>
      </w:pPr>
      <w:r>
        <w:rPr>
          <w:rFonts w:ascii="Comic Sans MS" w:hAnsi="Comic Sans MS"/>
          <w:sz w:val="28"/>
          <w:szCs w:val="28"/>
        </w:rPr>
        <w:t>In its claims, t</w:t>
      </w:r>
      <w:r w:rsidRPr="00051FFC">
        <w:rPr>
          <w:rFonts w:ascii="Comic Sans MS" w:hAnsi="Comic Sans MS"/>
          <w:sz w:val="28"/>
          <w:szCs w:val="28"/>
        </w:rPr>
        <w:t>he EC appears to be overestim</w:t>
      </w:r>
      <w:r>
        <w:rPr>
          <w:rFonts w:ascii="Comic Sans MS" w:hAnsi="Comic Sans MS"/>
          <w:sz w:val="28"/>
          <w:szCs w:val="28"/>
        </w:rPr>
        <w:t>ating the impact of preferences, especially considering that, i</w:t>
      </w:r>
      <w:r w:rsidRPr="00051FFC">
        <w:rPr>
          <w:rFonts w:ascii="Comic Sans MS" w:hAnsi="Comic Sans MS"/>
          <w:sz w:val="28"/>
          <w:szCs w:val="28"/>
        </w:rPr>
        <w:t>n total</w:t>
      </w:r>
      <w:r>
        <w:rPr>
          <w:rFonts w:ascii="Comic Sans MS" w:hAnsi="Comic Sans MS"/>
          <w:sz w:val="28"/>
          <w:szCs w:val="28"/>
        </w:rPr>
        <w:t>,</w:t>
      </w:r>
      <w:r w:rsidRPr="00051FFC">
        <w:rPr>
          <w:rFonts w:ascii="Comic Sans MS" w:hAnsi="Comic Sans MS"/>
          <w:sz w:val="28"/>
          <w:szCs w:val="28"/>
        </w:rPr>
        <w:t xml:space="preserve"> the EU comprises more than 50 percent of total exports for only 4</w:t>
      </w:r>
      <w:r>
        <w:rPr>
          <w:rFonts w:ascii="Comic Sans MS" w:hAnsi="Comic Sans MS"/>
          <w:sz w:val="28"/>
          <w:szCs w:val="28"/>
        </w:rPr>
        <w:t xml:space="preserve">2 of the 175 countries and that, </w:t>
      </w:r>
      <w:r w:rsidRPr="00051FFC">
        <w:rPr>
          <w:rFonts w:ascii="Comic Sans MS" w:hAnsi="Comic Sans MS"/>
          <w:sz w:val="28"/>
          <w:szCs w:val="28"/>
        </w:rPr>
        <w:t>for many countries</w:t>
      </w:r>
      <w:r>
        <w:rPr>
          <w:rFonts w:ascii="Comic Sans MS" w:hAnsi="Comic Sans MS"/>
          <w:sz w:val="28"/>
          <w:szCs w:val="28"/>
        </w:rPr>
        <w:t>,</w:t>
      </w:r>
      <w:r w:rsidRPr="00051FFC">
        <w:rPr>
          <w:rFonts w:ascii="Comic Sans MS" w:hAnsi="Comic Sans MS"/>
          <w:sz w:val="28"/>
          <w:szCs w:val="28"/>
        </w:rPr>
        <w:t xml:space="preserve"> most of their </w:t>
      </w:r>
      <w:r w:rsidRPr="00051FFC">
        <w:rPr>
          <w:rFonts w:ascii="Comic Sans MS" w:hAnsi="Comic Sans MS"/>
          <w:sz w:val="28"/>
          <w:szCs w:val="28"/>
        </w:rPr>
        <w:lastRenderedPageBreak/>
        <w:t>trade is not with the EU.</w:t>
      </w:r>
      <w:r w:rsidRPr="00051FFC">
        <w:rPr>
          <w:rStyle w:val="FootnoteReference"/>
          <w:rFonts w:ascii="Comic Sans MS" w:hAnsi="Comic Sans MS"/>
          <w:sz w:val="28"/>
          <w:szCs w:val="28"/>
        </w:rPr>
        <w:footnoteReference w:id="22"/>
      </w:r>
      <w:r w:rsidRPr="00051FFC">
        <w:rPr>
          <w:rFonts w:ascii="Comic Sans MS" w:hAnsi="Comic Sans MS"/>
          <w:sz w:val="28"/>
          <w:szCs w:val="28"/>
        </w:rPr>
        <w:t xml:space="preserve"> This </w:t>
      </w:r>
      <w:r>
        <w:rPr>
          <w:rFonts w:ascii="Comic Sans MS" w:hAnsi="Comic Sans MS"/>
          <w:sz w:val="28"/>
          <w:szCs w:val="28"/>
        </w:rPr>
        <w:t xml:space="preserve">indeed </w:t>
      </w:r>
      <w:r w:rsidRPr="00051FFC">
        <w:rPr>
          <w:rFonts w:ascii="Comic Sans MS" w:hAnsi="Comic Sans MS"/>
          <w:sz w:val="28"/>
          <w:szCs w:val="28"/>
        </w:rPr>
        <w:t xml:space="preserve">puts into perspective the extent to which preferential trade policy </w:t>
      </w:r>
      <w:r>
        <w:rPr>
          <w:rFonts w:ascii="Comic Sans MS" w:hAnsi="Comic Sans MS"/>
          <w:sz w:val="28"/>
          <w:szCs w:val="28"/>
        </w:rPr>
        <w:t xml:space="preserve">designed the way the EC suggests to do in its GSP scheme proposal, </w:t>
      </w:r>
      <w:r w:rsidRPr="00051FFC">
        <w:rPr>
          <w:rFonts w:ascii="Comic Sans MS" w:hAnsi="Comic Sans MS"/>
          <w:sz w:val="28"/>
          <w:szCs w:val="28"/>
        </w:rPr>
        <w:t>could impact on trade and development more generally</w:t>
      </w:r>
      <w:r>
        <w:rPr>
          <w:rFonts w:ascii="Comic Sans MS" w:hAnsi="Comic Sans MS"/>
          <w:sz w:val="28"/>
          <w:szCs w:val="28"/>
        </w:rPr>
        <w:t>.</w:t>
      </w:r>
    </w:p>
    <w:p w:rsidR="002B60B7" w:rsidRPr="007B7865" w:rsidRDefault="002B60B7" w:rsidP="007B7865">
      <w:pPr>
        <w:jc w:val="both"/>
        <w:rPr>
          <w:rFonts w:ascii="Comic Sans MS" w:hAnsi="Comic Sans MS"/>
          <w:sz w:val="28"/>
          <w:szCs w:val="28"/>
        </w:rPr>
      </w:pPr>
    </w:p>
    <w:p w:rsidR="002B60B7" w:rsidRPr="007B7865" w:rsidRDefault="002B60B7" w:rsidP="000B0B2F">
      <w:pPr>
        <w:pStyle w:val="Heading3"/>
        <w:numPr>
          <w:ilvl w:val="1"/>
          <w:numId w:val="3"/>
        </w:numPr>
        <w:rPr>
          <w:rFonts w:ascii="Comic Sans MS" w:hAnsi="Comic Sans MS"/>
          <w:bCs/>
          <w:sz w:val="28"/>
        </w:rPr>
      </w:pPr>
      <w:bookmarkStart w:id="4" w:name="_Toc295486235"/>
      <w:r w:rsidRPr="007B7865">
        <w:rPr>
          <w:rFonts w:ascii="Comic Sans MS" w:hAnsi="Comic Sans MS"/>
          <w:bCs/>
          <w:sz w:val="28"/>
        </w:rPr>
        <w:t>Suspension of Imports</w:t>
      </w:r>
      <w:r>
        <w:rPr>
          <w:rFonts w:ascii="Comic Sans MS" w:hAnsi="Comic Sans MS"/>
          <w:bCs/>
          <w:sz w:val="28"/>
        </w:rPr>
        <w:t xml:space="preserve"> and Withdrawal of the GSP Scheme</w:t>
      </w:r>
      <w:bookmarkEnd w:id="4"/>
    </w:p>
    <w:p w:rsidR="002B60B7" w:rsidRDefault="002B60B7" w:rsidP="002D147C">
      <w:pPr>
        <w:autoSpaceDE w:val="0"/>
        <w:autoSpaceDN w:val="0"/>
        <w:adjustRightInd w:val="0"/>
        <w:jc w:val="both"/>
        <w:rPr>
          <w:rFonts w:ascii="Comic Sans MS" w:hAnsi="Comic Sans MS"/>
          <w:sz w:val="28"/>
          <w:szCs w:val="28"/>
        </w:rPr>
      </w:pPr>
      <w:r w:rsidRPr="009A4040">
        <w:rPr>
          <w:rFonts w:ascii="Comic Sans MS" w:hAnsi="Comic Sans MS"/>
          <w:sz w:val="28"/>
          <w:szCs w:val="28"/>
        </w:rPr>
        <w:t>Although it clearly set</w:t>
      </w:r>
      <w:r>
        <w:rPr>
          <w:rFonts w:ascii="Comic Sans MS" w:hAnsi="Comic Sans MS"/>
          <w:sz w:val="28"/>
          <w:szCs w:val="28"/>
        </w:rPr>
        <w:t>s</w:t>
      </w:r>
      <w:r w:rsidRPr="009A4040">
        <w:rPr>
          <w:rFonts w:ascii="Comic Sans MS" w:hAnsi="Comic Sans MS"/>
          <w:sz w:val="28"/>
          <w:szCs w:val="28"/>
        </w:rPr>
        <w:t xml:space="preserve"> out three arrangements for GSP preferences in the proposal, with three different </w:t>
      </w:r>
      <w:r>
        <w:rPr>
          <w:rFonts w:ascii="Comic Sans MS" w:hAnsi="Comic Sans MS"/>
          <w:sz w:val="28"/>
          <w:szCs w:val="28"/>
        </w:rPr>
        <w:t>(</w:t>
      </w:r>
      <w:r w:rsidRPr="009A4040">
        <w:rPr>
          <w:rFonts w:ascii="Comic Sans MS" w:hAnsi="Comic Sans MS"/>
          <w:sz w:val="28"/>
          <w:szCs w:val="28"/>
        </w:rPr>
        <w:t>and at times additional requirements</w:t>
      </w:r>
      <w:r>
        <w:rPr>
          <w:rFonts w:ascii="Comic Sans MS" w:hAnsi="Comic Sans MS"/>
          <w:sz w:val="28"/>
          <w:szCs w:val="28"/>
        </w:rPr>
        <w:t>)</w:t>
      </w:r>
      <w:r w:rsidRPr="009A4040">
        <w:rPr>
          <w:rFonts w:ascii="Comic Sans MS" w:hAnsi="Comic Sans MS"/>
          <w:sz w:val="28"/>
          <w:szCs w:val="28"/>
        </w:rPr>
        <w:t xml:space="preserve"> for qualification, </w:t>
      </w:r>
      <w:r>
        <w:rPr>
          <w:rFonts w:ascii="Comic Sans MS" w:hAnsi="Comic Sans MS"/>
          <w:sz w:val="28"/>
          <w:szCs w:val="28"/>
        </w:rPr>
        <w:t xml:space="preserve">the EC </w:t>
      </w:r>
      <w:r w:rsidRPr="009A4040">
        <w:rPr>
          <w:rFonts w:ascii="Comic Sans MS" w:hAnsi="Comic Sans MS"/>
          <w:sz w:val="28"/>
          <w:szCs w:val="28"/>
        </w:rPr>
        <w:t xml:space="preserve">cites for all three, one reason that </w:t>
      </w:r>
      <w:r>
        <w:rPr>
          <w:rFonts w:ascii="Comic Sans MS" w:hAnsi="Comic Sans MS"/>
          <w:sz w:val="28"/>
          <w:szCs w:val="28"/>
        </w:rPr>
        <w:t xml:space="preserve">has to </w:t>
      </w:r>
      <w:r w:rsidRPr="009A4040">
        <w:rPr>
          <w:rFonts w:ascii="Comic Sans MS" w:hAnsi="Comic Sans MS"/>
          <w:sz w:val="28"/>
          <w:szCs w:val="28"/>
        </w:rPr>
        <w:t xml:space="preserve">be taken into account for the temporary withdrawal of the arrangements. </w:t>
      </w:r>
      <w:r>
        <w:rPr>
          <w:rFonts w:ascii="Comic Sans MS" w:hAnsi="Comic Sans MS"/>
          <w:sz w:val="28"/>
          <w:szCs w:val="28"/>
        </w:rPr>
        <w:t>And this reason is “…s</w:t>
      </w:r>
      <w:r w:rsidRPr="009A4040">
        <w:rPr>
          <w:rFonts w:ascii="Comic Sans MS" w:hAnsi="Comic Sans MS"/>
          <w:sz w:val="28"/>
          <w:szCs w:val="28"/>
        </w:rPr>
        <w:t xml:space="preserve">erious and systematic violations of the principles laid down in certain international conventions concerning core human rights and </w:t>
      </w:r>
      <w:proofErr w:type="spellStart"/>
      <w:r w:rsidRPr="009A4040">
        <w:rPr>
          <w:rFonts w:ascii="Comic Sans MS" w:hAnsi="Comic Sans MS"/>
          <w:sz w:val="28"/>
          <w:szCs w:val="28"/>
        </w:rPr>
        <w:t>labour</w:t>
      </w:r>
      <w:proofErr w:type="spellEnd"/>
      <w:r w:rsidRPr="009A4040">
        <w:rPr>
          <w:rFonts w:ascii="Comic Sans MS" w:hAnsi="Comic Sans MS"/>
          <w:sz w:val="28"/>
          <w:szCs w:val="28"/>
        </w:rPr>
        <w:t xml:space="preserve"> rights, so as to promote the objectives of those conventions.”</w:t>
      </w:r>
      <w:r>
        <w:rPr>
          <w:rStyle w:val="FootnoteReference"/>
          <w:rFonts w:ascii="Comic Sans MS" w:hAnsi="Comic Sans MS"/>
          <w:sz w:val="28"/>
          <w:szCs w:val="28"/>
        </w:rPr>
        <w:footnoteReference w:id="23"/>
      </w:r>
      <w:r w:rsidRPr="009A4040">
        <w:rPr>
          <w:rFonts w:ascii="Comic Sans MS" w:hAnsi="Comic Sans MS"/>
          <w:sz w:val="28"/>
          <w:szCs w:val="28"/>
        </w:rPr>
        <w:t xml:space="preserve"> </w:t>
      </w:r>
      <w:r>
        <w:rPr>
          <w:rFonts w:ascii="Comic Sans MS" w:hAnsi="Comic Sans MS"/>
          <w:sz w:val="28"/>
          <w:szCs w:val="28"/>
        </w:rPr>
        <w:t>While it makes sense that t</w:t>
      </w:r>
      <w:r w:rsidRPr="003F15E9">
        <w:rPr>
          <w:rFonts w:ascii="Comic Sans MS" w:hAnsi="Comic Sans MS"/>
          <w:sz w:val="28"/>
          <w:szCs w:val="28"/>
        </w:rPr>
        <w:t>ariff preferences under the special incentive</w:t>
      </w:r>
      <w:r>
        <w:rPr>
          <w:rFonts w:ascii="Comic Sans MS" w:hAnsi="Comic Sans MS"/>
          <w:sz w:val="28"/>
          <w:szCs w:val="28"/>
        </w:rPr>
        <w:t xml:space="preserve"> </w:t>
      </w:r>
      <w:r w:rsidRPr="003F15E9">
        <w:rPr>
          <w:rFonts w:ascii="Comic Sans MS" w:hAnsi="Comic Sans MS"/>
          <w:sz w:val="28"/>
          <w:szCs w:val="28"/>
        </w:rPr>
        <w:t>arrangement for sustainable development and good governance should be temporarily</w:t>
      </w:r>
      <w:r>
        <w:rPr>
          <w:rFonts w:ascii="Comic Sans MS" w:hAnsi="Comic Sans MS"/>
          <w:sz w:val="28"/>
          <w:szCs w:val="28"/>
        </w:rPr>
        <w:t xml:space="preserve"> </w:t>
      </w:r>
      <w:r w:rsidRPr="003F15E9">
        <w:rPr>
          <w:rFonts w:ascii="Comic Sans MS" w:hAnsi="Comic Sans MS"/>
          <w:sz w:val="28"/>
          <w:szCs w:val="28"/>
        </w:rPr>
        <w:t>withdrawn if the beneficiary country does not respect its binding undertaking to</w:t>
      </w:r>
      <w:r>
        <w:rPr>
          <w:rFonts w:ascii="Comic Sans MS" w:hAnsi="Comic Sans MS"/>
          <w:sz w:val="28"/>
          <w:szCs w:val="28"/>
        </w:rPr>
        <w:t xml:space="preserve"> </w:t>
      </w:r>
      <w:r w:rsidRPr="003F15E9">
        <w:rPr>
          <w:rFonts w:ascii="Comic Sans MS" w:hAnsi="Comic Sans MS"/>
          <w:sz w:val="28"/>
          <w:szCs w:val="28"/>
        </w:rPr>
        <w:t>maintain the ratification and effective implementation of the conventions or to comply</w:t>
      </w:r>
      <w:r>
        <w:rPr>
          <w:rFonts w:ascii="Comic Sans MS" w:hAnsi="Comic Sans MS"/>
          <w:sz w:val="28"/>
          <w:szCs w:val="28"/>
        </w:rPr>
        <w:t xml:space="preserve"> </w:t>
      </w:r>
      <w:r w:rsidRPr="003F15E9">
        <w:rPr>
          <w:rFonts w:ascii="Comic Sans MS" w:hAnsi="Comic Sans MS"/>
          <w:sz w:val="28"/>
          <w:szCs w:val="28"/>
        </w:rPr>
        <w:t>with the reporting requirements imposed by the conventions,</w:t>
      </w:r>
      <w:r>
        <w:rPr>
          <w:rFonts w:ascii="Comic Sans MS" w:hAnsi="Comic Sans MS"/>
          <w:sz w:val="28"/>
          <w:szCs w:val="28"/>
        </w:rPr>
        <w:t xml:space="preserve"> it does not make sense to </w:t>
      </w:r>
      <w:r w:rsidRPr="009A4040">
        <w:rPr>
          <w:rFonts w:ascii="Comic Sans MS" w:hAnsi="Comic Sans MS"/>
          <w:sz w:val="28"/>
          <w:szCs w:val="28"/>
        </w:rPr>
        <w:t>cite</w:t>
      </w:r>
      <w:r>
        <w:rPr>
          <w:rFonts w:ascii="Comic Sans MS" w:hAnsi="Comic Sans MS"/>
          <w:sz w:val="28"/>
          <w:szCs w:val="28"/>
        </w:rPr>
        <w:t>,</w:t>
      </w:r>
      <w:r w:rsidRPr="009A4040">
        <w:rPr>
          <w:rFonts w:ascii="Comic Sans MS" w:hAnsi="Comic Sans MS"/>
          <w:sz w:val="28"/>
          <w:szCs w:val="28"/>
        </w:rPr>
        <w:t xml:space="preserve"> for all three, one reason </w:t>
      </w:r>
      <w:r>
        <w:rPr>
          <w:rFonts w:ascii="Comic Sans MS" w:hAnsi="Comic Sans MS"/>
          <w:sz w:val="28"/>
          <w:szCs w:val="28"/>
        </w:rPr>
        <w:t xml:space="preserve">for the </w:t>
      </w:r>
      <w:r w:rsidRPr="009A4040">
        <w:rPr>
          <w:rFonts w:ascii="Comic Sans MS" w:hAnsi="Comic Sans MS"/>
          <w:sz w:val="28"/>
          <w:szCs w:val="28"/>
        </w:rPr>
        <w:t>temporary</w:t>
      </w:r>
      <w:r>
        <w:rPr>
          <w:rFonts w:ascii="Comic Sans MS" w:hAnsi="Comic Sans MS"/>
          <w:sz w:val="28"/>
          <w:szCs w:val="28"/>
        </w:rPr>
        <w:t xml:space="preserve"> withdrawal of the arrangements, i.e. the s</w:t>
      </w:r>
      <w:r w:rsidRPr="009A4040">
        <w:rPr>
          <w:rFonts w:ascii="Comic Sans MS" w:hAnsi="Comic Sans MS"/>
          <w:sz w:val="28"/>
          <w:szCs w:val="28"/>
        </w:rPr>
        <w:t>erious and systematic violations of the principles laid down in certain international conventions</w:t>
      </w:r>
      <w:r>
        <w:rPr>
          <w:rFonts w:ascii="Comic Sans MS" w:hAnsi="Comic Sans MS"/>
          <w:sz w:val="28"/>
          <w:szCs w:val="28"/>
        </w:rPr>
        <w:t xml:space="preserve"> which not all GSP beneficiaries are required to be party to.</w:t>
      </w:r>
    </w:p>
    <w:p w:rsidR="002B60B7" w:rsidRDefault="002B60B7" w:rsidP="002D147C">
      <w:pPr>
        <w:autoSpaceDE w:val="0"/>
        <w:autoSpaceDN w:val="0"/>
        <w:adjustRightInd w:val="0"/>
        <w:jc w:val="both"/>
        <w:rPr>
          <w:rFonts w:ascii="Comic Sans MS" w:hAnsi="Comic Sans MS"/>
          <w:sz w:val="28"/>
          <w:szCs w:val="28"/>
        </w:rPr>
      </w:pPr>
    </w:p>
    <w:p w:rsidR="002B60B7" w:rsidRPr="000C2C30" w:rsidRDefault="002B60B7" w:rsidP="000C2C30">
      <w:pPr>
        <w:autoSpaceDE w:val="0"/>
        <w:autoSpaceDN w:val="0"/>
        <w:adjustRightInd w:val="0"/>
        <w:jc w:val="both"/>
        <w:rPr>
          <w:rFonts w:ascii="Comic Sans MS" w:hAnsi="Comic Sans MS" w:cs="ArialMT"/>
          <w:sz w:val="28"/>
          <w:szCs w:val="28"/>
        </w:rPr>
      </w:pPr>
      <w:r w:rsidRPr="009A4040">
        <w:rPr>
          <w:rFonts w:ascii="Comic Sans MS" w:hAnsi="Comic Sans MS"/>
          <w:sz w:val="28"/>
          <w:szCs w:val="28"/>
        </w:rPr>
        <w:lastRenderedPageBreak/>
        <w:t>Although in the substantive provisions of the proposed regulation</w:t>
      </w:r>
      <w:r w:rsidRPr="009A4040">
        <w:rPr>
          <w:rStyle w:val="FootnoteReference"/>
          <w:rFonts w:ascii="Comic Sans MS" w:hAnsi="Comic Sans MS"/>
          <w:sz w:val="28"/>
          <w:szCs w:val="28"/>
        </w:rPr>
        <w:footnoteReference w:id="24"/>
      </w:r>
      <w:r w:rsidRPr="009A4040">
        <w:rPr>
          <w:rFonts w:ascii="Comic Sans MS" w:hAnsi="Comic Sans MS"/>
          <w:sz w:val="28"/>
          <w:szCs w:val="28"/>
        </w:rPr>
        <w:t xml:space="preserve"> it is stated that the preferential arrangements may be </w:t>
      </w:r>
      <w:r>
        <w:rPr>
          <w:rFonts w:ascii="Comic Sans MS" w:hAnsi="Comic Sans MS"/>
          <w:sz w:val="28"/>
          <w:szCs w:val="28"/>
        </w:rPr>
        <w:t>t</w:t>
      </w:r>
      <w:r w:rsidRPr="009A4040">
        <w:rPr>
          <w:rFonts w:ascii="Comic Sans MS" w:hAnsi="Comic Sans MS"/>
          <w:sz w:val="28"/>
          <w:szCs w:val="28"/>
        </w:rPr>
        <w:t>emporarily</w:t>
      </w:r>
      <w:r>
        <w:rPr>
          <w:rFonts w:ascii="Comic Sans MS" w:hAnsi="Comic Sans MS"/>
          <w:sz w:val="28"/>
          <w:szCs w:val="28"/>
        </w:rPr>
        <w:t xml:space="preserve"> withdrawn </w:t>
      </w:r>
      <w:r w:rsidRPr="009A4040">
        <w:rPr>
          <w:rFonts w:ascii="Comic Sans MS" w:hAnsi="Comic Sans MS"/>
          <w:sz w:val="28"/>
          <w:szCs w:val="28"/>
        </w:rPr>
        <w:t xml:space="preserve">for any of the reasons listed, including </w:t>
      </w:r>
      <w:r>
        <w:rPr>
          <w:rFonts w:ascii="Comic Sans MS" w:hAnsi="Comic Sans MS"/>
          <w:sz w:val="28"/>
          <w:szCs w:val="28"/>
        </w:rPr>
        <w:t xml:space="preserve">the </w:t>
      </w:r>
      <w:r w:rsidRPr="009A4040">
        <w:rPr>
          <w:rFonts w:ascii="Comic Sans MS" w:hAnsi="Comic Sans MS"/>
          <w:sz w:val="28"/>
          <w:szCs w:val="28"/>
        </w:rPr>
        <w:t>serious and systematic violation of principles laid down in the core conventions, th</w:t>
      </w:r>
      <w:r>
        <w:rPr>
          <w:rFonts w:ascii="Comic Sans MS" w:hAnsi="Comic Sans MS"/>
          <w:sz w:val="28"/>
          <w:szCs w:val="28"/>
        </w:rPr>
        <w:t xml:space="preserve">e approach stated in the </w:t>
      </w:r>
      <w:r w:rsidRPr="000C2C30">
        <w:rPr>
          <w:rFonts w:ascii="Comic Sans MS" w:hAnsi="Comic Sans MS"/>
          <w:sz w:val="28"/>
          <w:szCs w:val="28"/>
        </w:rPr>
        <w:t xml:space="preserve">Explanatory Memorandum must </w:t>
      </w:r>
      <w:r>
        <w:rPr>
          <w:rFonts w:ascii="Comic Sans MS" w:hAnsi="Comic Sans MS"/>
          <w:sz w:val="28"/>
          <w:szCs w:val="28"/>
        </w:rPr>
        <w:t xml:space="preserve">be </w:t>
      </w:r>
      <w:r w:rsidRPr="000C2C30">
        <w:rPr>
          <w:rFonts w:ascii="Comic Sans MS" w:hAnsi="Comic Sans MS"/>
          <w:sz w:val="28"/>
          <w:szCs w:val="28"/>
        </w:rPr>
        <w:t>taken as indicative of the EU’s paramount interest and how the proposed Regulation is likely to be interpreted</w:t>
      </w:r>
      <w:r>
        <w:rPr>
          <w:rFonts w:ascii="Comic Sans MS" w:hAnsi="Comic Sans MS"/>
          <w:sz w:val="28"/>
          <w:szCs w:val="28"/>
        </w:rPr>
        <w:t xml:space="preserve"> and applied</w:t>
      </w:r>
      <w:r w:rsidRPr="000C2C30">
        <w:rPr>
          <w:rFonts w:ascii="Comic Sans MS" w:hAnsi="Comic Sans MS"/>
          <w:sz w:val="28"/>
          <w:szCs w:val="28"/>
        </w:rPr>
        <w:t>. This is supported by the fact that b</w:t>
      </w:r>
      <w:r w:rsidRPr="000C2C30">
        <w:rPr>
          <w:rFonts w:ascii="Comic Sans MS" w:hAnsi="Comic Sans MS" w:cs="ArialMT"/>
          <w:sz w:val="28"/>
          <w:szCs w:val="28"/>
        </w:rPr>
        <w:t xml:space="preserve">oth the EC Communication of 2004 and the Council Regulation of 2008 applying the GSP Scheme clearly </w:t>
      </w:r>
      <w:proofErr w:type="spellStart"/>
      <w:r w:rsidRPr="000C2C30">
        <w:rPr>
          <w:rFonts w:ascii="Comic Sans MS" w:hAnsi="Comic Sans MS" w:cs="ArialMT"/>
          <w:sz w:val="28"/>
          <w:szCs w:val="28"/>
        </w:rPr>
        <w:t>emphasise</w:t>
      </w:r>
      <w:proofErr w:type="spellEnd"/>
      <w:r w:rsidRPr="000C2C30">
        <w:rPr>
          <w:rFonts w:ascii="Comic Sans MS" w:hAnsi="Comic Sans MS" w:cs="ArialMT"/>
          <w:sz w:val="28"/>
          <w:szCs w:val="28"/>
        </w:rPr>
        <w:t xml:space="preserve"> core principles and values as a means to achieving sustainable development, and that these values and principles are presented as an overarching objective of the EU.</w:t>
      </w:r>
      <w:r>
        <w:rPr>
          <w:rStyle w:val="FootnoteReference"/>
          <w:rFonts w:ascii="Comic Sans MS" w:hAnsi="Comic Sans MS" w:cs="ArialMT"/>
          <w:sz w:val="28"/>
          <w:szCs w:val="28"/>
        </w:rPr>
        <w:footnoteReference w:id="25"/>
      </w:r>
      <w:r w:rsidRPr="000C2C30">
        <w:rPr>
          <w:rFonts w:ascii="Comic Sans MS" w:hAnsi="Comic Sans MS" w:cs="ArialMT"/>
          <w:sz w:val="28"/>
          <w:szCs w:val="28"/>
        </w:rPr>
        <w:t xml:space="preserve"> </w:t>
      </w:r>
    </w:p>
    <w:p w:rsidR="002B60B7" w:rsidRDefault="002B60B7" w:rsidP="00E30445">
      <w:pPr>
        <w:autoSpaceDE w:val="0"/>
        <w:autoSpaceDN w:val="0"/>
        <w:adjustRightInd w:val="0"/>
        <w:rPr>
          <w:rFonts w:ascii="ArialMT" w:hAnsi="ArialMT" w:cs="ArialMT"/>
          <w:sz w:val="20"/>
          <w:szCs w:val="20"/>
        </w:rPr>
      </w:pPr>
    </w:p>
    <w:p w:rsidR="002B60B7" w:rsidRDefault="002B60B7" w:rsidP="00406791">
      <w:pPr>
        <w:jc w:val="both"/>
        <w:rPr>
          <w:rFonts w:ascii="Comic Sans MS" w:hAnsi="Comic Sans MS"/>
          <w:sz w:val="28"/>
          <w:szCs w:val="28"/>
        </w:rPr>
      </w:pPr>
    </w:p>
    <w:p w:rsidR="002B60B7" w:rsidRDefault="002B60B7" w:rsidP="000B0B2F">
      <w:pPr>
        <w:pStyle w:val="Heading3"/>
        <w:numPr>
          <w:ilvl w:val="1"/>
          <w:numId w:val="3"/>
        </w:numPr>
        <w:rPr>
          <w:rFonts w:ascii="Comic Sans MS" w:hAnsi="Comic Sans MS"/>
          <w:bCs/>
          <w:sz w:val="28"/>
        </w:rPr>
      </w:pPr>
      <w:bookmarkStart w:id="5" w:name="_Toc295486236"/>
      <w:r w:rsidRPr="002D147C">
        <w:rPr>
          <w:rFonts w:ascii="Comic Sans MS" w:hAnsi="Comic Sans MS"/>
          <w:bCs/>
          <w:sz w:val="28"/>
        </w:rPr>
        <w:t>Use of Loose and Elastic Terms</w:t>
      </w:r>
      <w:bookmarkEnd w:id="5"/>
    </w:p>
    <w:p w:rsidR="002B60B7" w:rsidRDefault="002B60B7" w:rsidP="0044014E">
      <w:pPr>
        <w:jc w:val="both"/>
        <w:rPr>
          <w:rFonts w:ascii="Comic Sans MS" w:hAnsi="Comic Sans MS"/>
          <w:sz w:val="28"/>
          <w:szCs w:val="28"/>
        </w:rPr>
      </w:pPr>
      <w:r w:rsidRPr="00266C07">
        <w:rPr>
          <w:rFonts w:ascii="Comic Sans MS" w:hAnsi="Comic Sans MS"/>
          <w:sz w:val="28"/>
          <w:szCs w:val="28"/>
        </w:rPr>
        <w:t>Where a product originating in a beneficiary country of any of the three</w:t>
      </w:r>
      <w:r>
        <w:rPr>
          <w:rFonts w:ascii="Comic Sans MS" w:hAnsi="Comic Sans MS"/>
          <w:sz w:val="28"/>
          <w:szCs w:val="28"/>
        </w:rPr>
        <w:t xml:space="preserve"> </w:t>
      </w:r>
      <w:r w:rsidRPr="00266C07">
        <w:rPr>
          <w:rFonts w:ascii="Comic Sans MS" w:hAnsi="Comic Sans MS"/>
          <w:sz w:val="28"/>
          <w:szCs w:val="28"/>
        </w:rPr>
        <w:t>arrangements is imported in volumes and/or at prices</w:t>
      </w:r>
      <w:r>
        <w:rPr>
          <w:rFonts w:ascii="Comic Sans MS" w:hAnsi="Comic Sans MS"/>
          <w:sz w:val="28"/>
          <w:szCs w:val="28"/>
        </w:rPr>
        <w:t xml:space="preserve"> </w:t>
      </w:r>
      <w:r w:rsidRPr="00266C07">
        <w:rPr>
          <w:rFonts w:ascii="Comic Sans MS" w:hAnsi="Comic Sans MS"/>
          <w:sz w:val="28"/>
          <w:szCs w:val="28"/>
        </w:rPr>
        <w:t xml:space="preserve">which cause, or threaten to cause, </w:t>
      </w:r>
      <w:r>
        <w:rPr>
          <w:rFonts w:ascii="Comic Sans MS" w:hAnsi="Comic Sans MS"/>
          <w:sz w:val="28"/>
          <w:szCs w:val="28"/>
        </w:rPr>
        <w:t>“</w:t>
      </w:r>
      <w:r w:rsidRPr="00266C07">
        <w:rPr>
          <w:rFonts w:ascii="Comic Sans MS" w:hAnsi="Comic Sans MS"/>
          <w:sz w:val="28"/>
          <w:szCs w:val="28"/>
        </w:rPr>
        <w:t>serious difficulties</w:t>
      </w:r>
      <w:r>
        <w:rPr>
          <w:rFonts w:ascii="Comic Sans MS" w:hAnsi="Comic Sans MS"/>
          <w:sz w:val="28"/>
          <w:szCs w:val="28"/>
        </w:rPr>
        <w:t>”</w:t>
      </w:r>
      <w:r w:rsidRPr="00266C07">
        <w:rPr>
          <w:rFonts w:ascii="Comic Sans MS" w:hAnsi="Comic Sans MS"/>
          <w:sz w:val="28"/>
          <w:szCs w:val="28"/>
        </w:rPr>
        <w:t xml:space="preserve"> to European Union producers</w:t>
      </w:r>
      <w:r>
        <w:rPr>
          <w:rFonts w:ascii="Comic Sans MS" w:hAnsi="Comic Sans MS"/>
          <w:sz w:val="28"/>
          <w:szCs w:val="28"/>
        </w:rPr>
        <w:t xml:space="preserve"> </w:t>
      </w:r>
      <w:r w:rsidRPr="00266C07">
        <w:rPr>
          <w:rFonts w:ascii="Comic Sans MS" w:hAnsi="Comic Sans MS"/>
          <w:sz w:val="28"/>
          <w:szCs w:val="28"/>
        </w:rPr>
        <w:t xml:space="preserve">of like or directly competing products, </w:t>
      </w:r>
      <w:r>
        <w:rPr>
          <w:rFonts w:ascii="Comic Sans MS" w:hAnsi="Comic Sans MS"/>
          <w:sz w:val="28"/>
          <w:szCs w:val="28"/>
        </w:rPr>
        <w:t>normal common customs t</w:t>
      </w:r>
      <w:r w:rsidRPr="00266C07">
        <w:rPr>
          <w:rFonts w:ascii="Comic Sans MS" w:hAnsi="Comic Sans MS"/>
          <w:sz w:val="28"/>
          <w:szCs w:val="28"/>
        </w:rPr>
        <w:t>ariff duties on</w:t>
      </w:r>
      <w:r>
        <w:rPr>
          <w:rFonts w:ascii="Comic Sans MS" w:hAnsi="Comic Sans MS"/>
          <w:sz w:val="28"/>
          <w:szCs w:val="28"/>
        </w:rPr>
        <w:t xml:space="preserve"> </w:t>
      </w:r>
      <w:r w:rsidRPr="00266C07">
        <w:rPr>
          <w:rFonts w:ascii="Comic Sans MS" w:hAnsi="Comic Sans MS"/>
          <w:sz w:val="28"/>
          <w:szCs w:val="28"/>
        </w:rPr>
        <w:t>that product may be reintroduced</w:t>
      </w:r>
      <w:r>
        <w:rPr>
          <w:rFonts w:ascii="Comic Sans MS" w:hAnsi="Comic Sans MS"/>
          <w:sz w:val="28"/>
          <w:szCs w:val="28"/>
        </w:rPr>
        <w:t>.</w:t>
      </w:r>
      <w:r>
        <w:rPr>
          <w:rStyle w:val="FootnoteReference"/>
          <w:rFonts w:ascii="Comic Sans MS" w:hAnsi="Comic Sans MS"/>
          <w:sz w:val="28"/>
          <w:szCs w:val="28"/>
        </w:rPr>
        <w:footnoteReference w:id="26"/>
      </w:r>
      <w:r>
        <w:rPr>
          <w:rFonts w:ascii="Comic Sans MS" w:hAnsi="Comic Sans MS"/>
          <w:sz w:val="28"/>
          <w:szCs w:val="28"/>
        </w:rPr>
        <w:t xml:space="preserve"> Note should be taken here of the use of the phrase </w:t>
      </w:r>
      <w:r w:rsidRPr="007925BA">
        <w:rPr>
          <w:rFonts w:ascii="Comic Sans MS" w:hAnsi="Comic Sans MS"/>
          <w:i/>
          <w:sz w:val="28"/>
          <w:szCs w:val="28"/>
        </w:rPr>
        <w:t>‘serious difficulties’</w:t>
      </w:r>
      <w:r>
        <w:rPr>
          <w:rFonts w:ascii="Comic Sans MS" w:hAnsi="Comic Sans MS"/>
          <w:sz w:val="28"/>
          <w:szCs w:val="28"/>
        </w:rPr>
        <w:t xml:space="preserve"> instead of </w:t>
      </w:r>
      <w:r w:rsidRPr="007925BA">
        <w:rPr>
          <w:rFonts w:ascii="Comic Sans MS" w:hAnsi="Comic Sans MS"/>
          <w:i/>
          <w:sz w:val="28"/>
          <w:szCs w:val="28"/>
        </w:rPr>
        <w:t>“serious injury”</w:t>
      </w:r>
      <w:r>
        <w:rPr>
          <w:rFonts w:ascii="Comic Sans MS" w:hAnsi="Comic Sans MS"/>
          <w:sz w:val="28"/>
          <w:szCs w:val="28"/>
        </w:rPr>
        <w:t xml:space="preserve"> as used in the WTO Agreement on Safeguards in similar situations. </w:t>
      </w:r>
      <w:r w:rsidRPr="0044014E">
        <w:rPr>
          <w:rFonts w:ascii="Comic Sans MS" w:hAnsi="Comic Sans MS"/>
          <w:sz w:val="28"/>
          <w:szCs w:val="28"/>
        </w:rPr>
        <w:t>The WTO Agreement on Safeguards</w:t>
      </w:r>
      <w:r w:rsidRPr="0044014E">
        <w:rPr>
          <w:rFonts w:ascii="Comic Sans MS" w:hAnsi="Comic Sans MS"/>
          <w:color w:val="000000"/>
          <w:sz w:val="28"/>
          <w:szCs w:val="28"/>
        </w:rPr>
        <w:t xml:space="preserve"> provides</w:t>
      </w:r>
      <w:r w:rsidRPr="0044014E">
        <w:rPr>
          <w:rStyle w:val="FootnoteReference"/>
          <w:rFonts w:ascii="Comic Sans MS" w:hAnsi="Comic Sans MS"/>
          <w:color w:val="000000"/>
          <w:sz w:val="28"/>
          <w:szCs w:val="28"/>
        </w:rPr>
        <w:footnoteReference w:id="27"/>
      </w:r>
      <w:r w:rsidRPr="0044014E">
        <w:rPr>
          <w:rFonts w:ascii="Comic Sans MS" w:hAnsi="Comic Sans MS"/>
          <w:color w:val="000000"/>
          <w:sz w:val="28"/>
          <w:szCs w:val="28"/>
        </w:rPr>
        <w:t xml:space="preserve"> that a Member may apply a safeguard measure to a product only if that Member has determined that such product is being imported into its territory in such increased quantities and under such conditions as to cause  </w:t>
      </w:r>
      <w:r w:rsidRPr="0044014E">
        <w:rPr>
          <w:rFonts w:ascii="Comic Sans MS" w:hAnsi="Comic Sans MS"/>
          <w:color w:val="000000"/>
          <w:sz w:val="28"/>
          <w:szCs w:val="28"/>
        </w:rPr>
        <w:lastRenderedPageBreak/>
        <w:t xml:space="preserve">or threaten to cause </w:t>
      </w:r>
      <w:r w:rsidRPr="0044014E">
        <w:rPr>
          <w:rFonts w:ascii="Comic Sans MS" w:hAnsi="Comic Sans MS"/>
          <w:i/>
          <w:color w:val="000000"/>
          <w:sz w:val="28"/>
          <w:szCs w:val="28"/>
        </w:rPr>
        <w:t>serious injury</w:t>
      </w:r>
      <w:r w:rsidRPr="0044014E">
        <w:rPr>
          <w:rFonts w:ascii="Comic Sans MS" w:hAnsi="Comic Sans MS"/>
          <w:color w:val="000000"/>
          <w:sz w:val="28"/>
          <w:szCs w:val="28"/>
        </w:rPr>
        <w:t xml:space="preserve"> to the domestic industry that produces like or directly competitive products.</w:t>
      </w:r>
      <w:r>
        <w:rPr>
          <w:rFonts w:ascii="Comic Sans MS" w:hAnsi="Comic Sans MS"/>
          <w:color w:val="000000"/>
          <w:sz w:val="28"/>
          <w:szCs w:val="28"/>
        </w:rPr>
        <w:t xml:space="preserve"> ‘</w:t>
      </w:r>
      <w:r w:rsidRPr="0044014E">
        <w:rPr>
          <w:rFonts w:ascii="Comic Sans MS" w:hAnsi="Comic Sans MS"/>
          <w:color w:val="000000"/>
          <w:sz w:val="28"/>
          <w:szCs w:val="28"/>
        </w:rPr>
        <w:t>Serious d</w:t>
      </w:r>
      <w:r w:rsidRPr="0044014E">
        <w:rPr>
          <w:rFonts w:ascii="Comic Sans MS" w:hAnsi="Comic Sans MS"/>
          <w:sz w:val="28"/>
          <w:szCs w:val="28"/>
        </w:rPr>
        <w:t>ifficulties</w:t>
      </w:r>
      <w:r>
        <w:rPr>
          <w:rFonts w:ascii="Comic Sans MS" w:hAnsi="Comic Sans MS"/>
          <w:sz w:val="28"/>
          <w:szCs w:val="28"/>
        </w:rPr>
        <w:t xml:space="preserve">’ is a term a lot looser than ‘serious injury.’ </w:t>
      </w:r>
    </w:p>
    <w:p w:rsidR="002B60B7" w:rsidRDefault="002B60B7" w:rsidP="0044014E">
      <w:pPr>
        <w:jc w:val="both"/>
        <w:rPr>
          <w:rFonts w:ascii="Comic Sans MS" w:hAnsi="Comic Sans MS"/>
          <w:sz w:val="28"/>
          <w:szCs w:val="28"/>
        </w:rPr>
      </w:pPr>
    </w:p>
    <w:p w:rsidR="002B60B7" w:rsidRPr="00957AA8" w:rsidRDefault="002B60B7" w:rsidP="0044014E">
      <w:pPr>
        <w:jc w:val="both"/>
        <w:rPr>
          <w:rFonts w:ascii="Comic Sans MS" w:hAnsi="Comic Sans MS"/>
          <w:sz w:val="28"/>
          <w:szCs w:val="28"/>
        </w:rPr>
      </w:pPr>
      <w:r>
        <w:rPr>
          <w:rFonts w:ascii="Comic Sans MS" w:hAnsi="Comic Sans MS"/>
          <w:sz w:val="28"/>
          <w:szCs w:val="28"/>
        </w:rPr>
        <w:t xml:space="preserve">According to the EU GSP scheme proposal, serious </w:t>
      </w:r>
      <w:r w:rsidRPr="00266C07">
        <w:rPr>
          <w:rFonts w:ascii="Comic Sans MS" w:hAnsi="Comic Sans MS"/>
          <w:sz w:val="28"/>
          <w:szCs w:val="28"/>
        </w:rPr>
        <w:t xml:space="preserve">difficulties </w:t>
      </w:r>
      <w:r>
        <w:rPr>
          <w:rFonts w:ascii="Comic Sans MS" w:hAnsi="Comic Sans MS"/>
          <w:sz w:val="28"/>
          <w:szCs w:val="28"/>
        </w:rPr>
        <w:t xml:space="preserve">will be deemed to exist </w:t>
      </w:r>
      <w:r w:rsidRPr="00266C07">
        <w:rPr>
          <w:rFonts w:ascii="Comic Sans MS" w:hAnsi="Comic Sans MS"/>
          <w:sz w:val="28"/>
          <w:szCs w:val="28"/>
        </w:rPr>
        <w:t xml:space="preserve">where European Union producers suffer </w:t>
      </w:r>
      <w:r w:rsidRPr="007925BA">
        <w:rPr>
          <w:rFonts w:ascii="Comic Sans MS" w:hAnsi="Comic Sans MS"/>
          <w:i/>
          <w:sz w:val="28"/>
          <w:szCs w:val="28"/>
        </w:rPr>
        <w:t xml:space="preserve">deterioration </w:t>
      </w:r>
      <w:r w:rsidRPr="00266C07">
        <w:rPr>
          <w:rFonts w:ascii="Comic Sans MS" w:hAnsi="Comic Sans MS"/>
          <w:sz w:val="28"/>
          <w:szCs w:val="28"/>
        </w:rPr>
        <w:t>in their</w:t>
      </w:r>
      <w:r>
        <w:rPr>
          <w:rFonts w:ascii="Comic Sans MS" w:hAnsi="Comic Sans MS"/>
          <w:sz w:val="28"/>
          <w:szCs w:val="28"/>
        </w:rPr>
        <w:t xml:space="preserve"> </w:t>
      </w:r>
      <w:r w:rsidRPr="00266C07">
        <w:rPr>
          <w:rFonts w:ascii="Comic Sans MS" w:hAnsi="Comic Sans MS"/>
          <w:sz w:val="28"/>
          <w:szCs w:val="28"/>
        </w:rPr>
        <w:t>economic and/or financial situation</w:t>
      </w:r>
      <w:r>
        <w:rPr>
          <w:rFonts w:ascii="Comic Sans MS" w:hAnsi="Comic Sans MS"/>
          <w:sz w:val="28"/>
          <w:szCs w:val="28"/>
        </w:rPr>
        <w:t>,</w:t>
      </w:r>
      <w:r>
        <w:rPr>
          <w:rStyle w:val="FootnoteReference"/>
          <w:rFonts w:ascii="Comic Sans MS" w:hAnsi="Comic Sans MS"/>
          <w:sz w:val="28"/>
          <w:szCs w:val="28"/>
        </w:rPr>
        <w:footnoteReference w:id="28"/>
      </w:r>
      <w:r w:rsidRPr="00266C07">
        <w:rPr>
          <w:rFonts w:ascii="Comic Sans MS" w:hAnsi="Comic Sans MS"/>
          <w:sz w:val="28"/>
          <w:szCs w:val="28"/>
        </w:rPr>
        <w:t xml:space="preserve"> </w:t>
      </w:r>
      <w:r>
        <w:rPr>
          <w:rFonts w:ascii="Comic Sans MS" w:hAnsi="Comic Sans MS"/>
          <w:sz w:val="28"/>
          <w:szCs w:val="28"/>
        </w:rPr>
        <w:t>while according to the Agreement on Safeguards</w:t>
      </w:r>
      <w:r>
        <w:rPr>
          <w:rStyle w:val="FootnoteReference"/>
          <w:rFonts w:ascii="Comic Sans MS" w:hAnsi="Comic Sans MS"/>
          <w:sz w:val="28"/>
          <w:szCs w:val="28"/>
        </w:rPr>
        <w:footnoteReference w:id="29"/>
      </w:r>
      <w:r w:rsidRPr="00957AA8">
        <w:rPr>
          <w:rFonts w:ascii="Comic Sans MS" w:hAnsi="Comic Sans MS"/>
          <w:sz w:val="28"/>
          <w:szCs w:val="28"/>
        </w:rPr>
        <w:t xml:space="preserve"> serious injury shall be understood to mean a </w:t>
      </w:r>
      <w:r w:rsidRPr="007925BA">
        <w:rPr>
          <w:rFonts w:ascii="Comic Sans MS" w:hAnsi="Comic Sans MS"/>
          <w:i/>
          <w:sz w:val="28"/>
          <w:szCs w:val="28"/>
        </w:rPr>
        <w:t>significant overall impairment</w:t>
      </w:r>
      <w:r w:rsidRPr="00957AA8">
        <w:rPr>
          <w:rFonts w:ascii="Comic Sans MS" w:hAnsi="Comic Sans MS"/>
          <w:sz w:val="28"/>
          <w:szCs w:val="28"/>
        </w:rPr>
        <w:t xml:space="preserve"> in the position of a domestic industry. ‘Deterioration’ is </w:t>
      </w:r>
      <w:r>
        <w:rPr>
          <w:rFonts w:ascii="Comic Sans MS" w:hAnsi="Comic Sans MS"/>
          <w:sz w:val="28"/>
          <w:szCs w:val="28"/>
        </w:rPr>
        <w:t xml:space="preserve">a lot </w:t>
      </w:r>
      <w:r w:rsidRPr="00957AA8">
        <w:rPr>
          <w:rFonts w:ascii="Comic Sans MS" w:hAnsi="Comic Sans MS"/>
          <w:sz w:val="28"/>
          <w:szCs w:val="28"/>
        </w:rPr>
        <w:t xml:space="preserve">looser than ‘impairment.’ </w:t>
      </w:r>
    </w:p>
    <w:p w:rsidR="002B60B7" w:rsidRDefault="002B60B7" w:rsidP="00847760">
      <w:pPr>
        <w:jc w:val="both"/>
        <w:rPr>
          <w:rFonts w:ascii="Comic Sans MS" w:hAnsi="Comic Sans MS"/>
          <w:sz w:val="28"/>
          <w:szCs w:val="28"/>
        </w:rPr>
      </w:pPr>
    </w:p>
    <w:p w:rsidR="002B60B7" w:rsidRDefault="002B60B7" w:rsidP="00847760">
      <w:pPr>
        <w:jc w:val="both"/>
        <w:rPr>
          <w:rFonts w:ascii="Comic Sans MS" w:hAnsi="Comic Sans MS"/>
          <w:sz w:val="28"/>
          <w:szCs w:val="28"/>
        </w:rPr>
      </w:pPr>
      <w:r>
        <w:rPr>
          <w:rFonts w:ascii="Comic Sans MS" w:hAnsi="Comic Sans MS"/>
          <w:sz w:val="28"/>
          <w:szCs w:val="28"/>
        </w:rPr>
        <w:t>W</w:t>
      </w:r>
      <w:r w:rsidRPr="00266C07">
        <w:rPr>
          <w:rFonts w:ascii="Comic Sans MS" w:hAnsi="Comic Sans MS"/>
          <w:sz w:val="28"/>
          <w:szCs w:val="28"/>
        </w:rPr>
        <w:t>here imports of products</w:t>
      </w:r>
      <w:r>
        <w:rPr>
          <w:rFonts w:ascii="Comic Sans MS" w:hAnsi="Comic Sans MS"/>
          <w:sz w:val="28"/>
          <w:szCs w:val="28"/>
        </w:rPr>
        <w:t xml:space="preserve"> </w:t>
      </w:r>
      <w:r w:rsidRPr="00266C07">
        <w:rPr>
          <w:rFonts w:ascii="Comic Sans MS" w:hAnsi="Comic Sans MS"/>
          <w:sz w:val="28"/>
          <w:szCs w:val="28"/>
        </w:rPr>
        <w:t>threaten</w:t>
      </w:r>
      <w:r>
        <w:rPr>
          <w:rFonts w:ascii="Comic Sans MS" w:hAnsi="Comic Sans MS"/>
          <w:sz w:val="28"/>
          <w:szCs w:val="28"/>
        </w:rPr>
        <w:t xml:space="preserve"> </w:t>
      </w:r>
      <w:r w:rsidRPr="00266C07">
        <w:rPr>
          <w:rFonts w:ascii="Comic Sans MS" w:hAnsi="Comic Sans MS"/>
          <w:sz w:val="28"/>
          <w:szCs w:val="28"/>
        </w:rPr>
        <w:t xml:space="preserve">to cause, serious </w:t>
      </w:r>
      <w:r w:rsidRPr="007925BA">
        <w:rPr>
          <w:rFonts w:ascii="Comic Sans MS" w:hAnsi="Comic Sans MS"/>
          <w:i/>
          <w:sz w:val="28"/>
          <w:szCs w:val="28"/>
        </w:rPr>
        <w:t>disturbance</w:t>
      </w:r>
      <w:r w:rsidRPr="00266C07">
        <w:rPr>
          <w:rFonts w:ascii="Comic Sans MS" w:hAnsi="Comic Sans MS"/>
          <w:sz w:val="28"/>
          <w:szCs w:val="28"/>
        </w:rPr>
        <w:t xml:space="preserve"> to European Union markets,</w:t>
      </w:r>
      <w:r>
        <w:rPr>
          <w:rFonts w:ascii="Comic Sans MS" w:hAnsi="Comic Sans MS"/>
          <w:sz w:val="28"/>
          <w:szCs w:val="28"/>
        </w:rPr>
        <w:t xml:space="preserve"> tariffs may be re-introduced.</w:t>
      </w:r>
      <w:r>
        <w:rPr>
          <w:rStyle w:val="FootnoteReference"/>
          <w:rFonts w:ascii="Comic Sans MS" w:hAnsi="Comic Sans MS"/>
          <w:sz w:val="28"/>
          <w:szCs w:val="28"/>
        </w:rPr>
        <w:footnoteReference w:id="30"/>
      </w:r>
      <w:r>
        <w:rPr>
          <w:rFonts w:ascii="Comic Sans MS" w:hAnsi="Comic Sans MS"/>
          <w:sz w:val="28"/>
          <w:szCs w:val="28"/>
        </w:rPr>
        <w:t xml:space="preserve"> Further, </w:t>
      </w:r>
      <w:r w:rsidRPr="00266C07">
        <w:rPr>
          <w:rFonts w:ascii="Comic Sans MS" w:hAnsi="Comic Sans MS"/>
          <w:sz w:val="28"/>
          <w:szCs w:val="28"/>
        </w:rPr>
        <w:t>products originating in beneficiary</w:t>
      </w:r>
      <w:r>
        <w:rPr>
          <w:rFonts w:ascii="Comic Sans MS" w:hAnsi="Comic Sans MS"/>
          <w:sz w:val="28"/>
          <w:szCs w:val="28"/>
        </w:rPr>
        <w:t xml:space="preserve"> countries</w:t>
      </w:r>
      <w:r w:rsidRPr="00266C07">
        <w:rPr>
          <w:rFonts w:ascii="Comic Sans MS" w:hAnsi="Comic Sans MS"/>
          <w:sz w:val="28"/>
          <w:szCs w:val="28"/>
        </w:rPr>
        <w:t xml:space="preserve"> may be subject to a special surveillance</w:t>
      </w:r>
      <w:r>
        <w:rPr>
          <w:rFonts w:ascii="Comic Sans MS" w:hAnsi="Comic Sans MS"/>
          <w:sz w:val="28"/>
          <w:szCs w:val="28"/>
        </w:rPr>
        <w:t xml:space="preserve"> mechanism</w:t>
      </w:r>
      <w:r w:rsidRPr="00266C07">
        <w:rPr>
          <w:rFonts w:ascii="Comic Sans MS" w:hAnsi="Comic Sans MS"/>
          <w:sz w:val="28"/>
          <w:szCs w:val="28"/>
        </w:rPr>
        <w:t xml:space="preserve"> in order to avoid </w:t>
      </w:r>
      <w:r w:rsidRPr="007925BA">
        <w:rPr>
          <w:rFonts w:ascii="Comic Sans MS" w:hAnsi="Comic Sans MS"/>
          <w:i/>
          <w:sz w:val="28"/>
          <w:szCs w:val="28"/>
        </w:rPr>
        <w:t>disturbances.</w:t>
      </w:r>
      <w:r>
        <w:rPr>
          <w:rFonts w:ascii="Comic Sans MS" w:hAnsi="Comic Sans MS"/>
          <w:sz w:val="28"/>
          <w:szCs w:val="28"/>
        </w:rPr>
        <w:t xml:space="preserve"> Again, not the </w:t>
      </w:r>
      <w:r w:rsidRPr="007925BA">
        <w:rPr>
          <w:rFonts w:ascii="Comic Sans MS" w:hAnsi="Comic Sans MS"/>
          <w:i/>
          <w:sz w:val="28"/>
          <w:szCs w:val="28"/>
        </w:rPr>
        <w:t>impairment</w:t>
      </w:r>
      <w:r>
        <w:rPr>
          <w:rFonts w:ascii="Comic Sans MS" w:hAnsi="Comic Sans MS"/>
          <w:sz w:val="28"/>
          <w:szCs w:val="28"/>
        </w:rPr>
        <w:t xml:space="preserve"> of </w:t>
      </w:r>
      <w:r w:rsidRPr="00266C07">
        <w:rPr>
          <w:rFonts w:ascii="Comic Sans MS" w:hAnsi="Comic Sans MS"/>
          <w:sz w:val="28"/>
          <w:szCs w:val="28"/>
        </w:rPr>
        <w:t>European Union markets</w:t>
      </w:r>
      <w:r>
        <w:rPr>
          <w:rFonts w:ascii="Comic Sans MS" w:hAnsi="Comic Sans MS"/>
          <w:sz w:val="28"/>
          <w:szCs w:val="28"/>
        </w:rPr>
        <w:t xml:space="preserve"> as per the standard of the Agreement on Safeguards</w:t>
      </w:r>
      <w:r w:rsidRPr="00266C07">
        <w:rPr>
          <w:rFonts w:ascii="Comic Sans MS" w:hAnsi="Comic Sans MS"/>
          <w:sz w:val="28"/>
          <w:szCs w:val="28"/>
        </w:rPr>
        <w:t>.</w:t>
      </w:r>
    </w:p>
    <w:p w:rsidR="002B60B7" w:rsidRPr="00266C07" w:rsidRDefault="002B60B7" w:rsidP="00847760">
      <w:pPr>
        <w:jc w:val="both"/>
        <w:rPr>
          <w:rFonts w:ascii="Comic Sans MS" w:hAnsi="Comic Sans MS"/>
          <w:sz w:val="28"/>
          <w:szCs w:val="28"/>
        </w:rPr>
      </w:pPr>
      <w:r>
        <w:rPr>
          <w:rFonts w:ascii="Comic Sans MS" w:hAnsi="Comic Sans MS"/>
          <w:sz w:val="28"/>
          <w:szCs w:val="28"/>
        </w:rPr>
        <w:t>The EC can be expected to argue that it can use this loose and elastic language because when the preferences are withdrawn, imports from the concerned country are no being suspended altogether. The only ‘punishment’ meted out to the concerned country is the re-instatement of MFN treatment of the imports. While one could imagine that the EC could get away with this argument if challenged at the WTO, one wonders why the EC would make it easier than is generally allowed in the WTO, to suspend imports from those “</w:t>
      </w:r>
      <w:r w:rsidRPr="003F651F">
        <w:rPr>
          <w:rFonts w:ascii="Comic Sans MS" w:hAnsi="Comic Sans MS"/>
          <w:sz w:val="28"/>
          <w:szCs w:val="28"/>
        </w:rPr>
        <w:t>countries most in need</w:t>
      </w:r>
      <w:r>
        <w:rPr>
          <w:rFonts w:ascii="Comic Sans MS" w:hAnsi="Comic Sans MS"/>
          <w:sz w:val="28"/>
          <w:szCs w:val="28"/>
        </w:rPr>
        <w:t>.”</w:t>
      </w:r>
      <w:r>
        <w:rPr>
          <w:rStyle w:val="FootnoteReference"/>
          <w:rFonts w:ascii="Comic Sans MS" w:hAnsi="Comic Sans MS"/>
          <w:sz w:val="28"/>
          <w:szCs w:val="28"/>
        </w:rPr>
        <w:footnoteReference w:id="31"/>
      </w:r>
      <w:r>
        <w:rPr>
          <w:rFonts w:ascii="Comic Sans MS" w:hAnsi="Comic Sans MS"/>
          <w:sz w:val="28"/>
          <w:szCs w:val="28"/>
        </w:rPr>
        <w:t xml:space="preserve"> This </w:t>
      </w:r>
      <w:r>
        <w:rPr>
          <w:rFonts w:ascii="Comic Sans MS" w:hAnsi="Comic Sans MS"/>
          <w:sz w:val="28"/>
          <w:szCs w:val="28"/>
        </w:rPr>
        <w:lastRenderedPageBreak/>
        <w:t xml:space="preserve">approach appears to defeat the </w:t>
      </w:r>
      <w:proofErr w:type="spellStart"/>
      <w:r>
        <w:rPr>
          <w:rFonts w:ascii="Comic Sans MS" w:hAnsi="Comic Sans MS"/>
          <w:sz w:val="28"/>
          <w:szCs w:val="28"/>
        </w:rPr>
        <w:t>prophesed</w:t>
      </w:r>
      <w:proofErr w:type="spellEnd"/>
      <w:r>
        <w:rPr>
          <w:rFonts w:ascii="Comic Sans MS" w:hAnsi="Comic Sans MS"/>
          <w:sz w:val="28"/>
          <w:szCs w:val="28"/>
        </w:rPr>
        <w:t xml:space="preserve"> purpose of the GSP scheme.</w:t>
      </w:r>
    </w:p>
    <w:p w:rsidR="002B60B7" w:rsidRDefault="002B60B7" w:rsidP="00575E11">
      <w:pPr>
        <w:autoSpaceDE w:val="0"/>
        <w:autoSpaceDN w:val="0"/>
        <w:adjustRightInd w:val="0"/>
        <w:jc w:val="both"/>
        <w:rPr>
          <w:rFonts w:ascii="Comic Sans MS" w:hAnsi="Comic Sans MS"/>
          <w:sz w:val="28"/>
          <w:szCs w:val="28"/>
        </w:rPr>
      </w:pPr>
    </w:p>
    <w:p w:rsidR="002B60B7" w:rsidRDefault="002B60B7" w:rsidP="00575E11">
      <w:pPr>
        <w:autoSpaceDE w:val="0"/>
        <w:autoSpaceDN w:val="0"/>
        <w:adjustRightInd w:val="0"/>
        <w:jc w:val="both"/>
        <w:rPr>
          <w:rFonts w:ascii="Comic Sans MS" w:hAnsi="Comic Sans MS"/>
          <w:sz w:val="28"/>
          <w:szCs w:val="28"/>
        </w:rPr>
      </w:pPr>
    </w:p>
    <w:p w:rsidR="002B60B7" w:rsidRPr="0045225A" w:rsidRDefault="002B60B7" w:rsidP="000B0B2F">
      <w:pPr>
        <w:pStyle w:val="Heading3"/>
        <w:numPr>
          <w:ilvl w:val="1"/>
          <w:numId w:val="3"/>
        </w:numPr>
        <w:rPr>
          <w:rFonts w:ascii="Comic Sans MS" w:hAnsi="Comic Sans MS"/>
          <w:bCs/>
          <w:sz w:val="28"/>
        </w:rPr>
      </w:pPr>
      <w:bookmarkStart w:id="6" w:name="_Toc295486237"/>
      <w:r w:rsidRPr="0045225A">
        <w:rPr>
          <w:rFonts w:ascii="Comic Sans MS" w:hAnsi="Comic Sans MS"/>
          <w:bCs/>
          <w:sz w:val="28"/>
        </w:rPr>
        <w:t xml:space="preserve">Compatibility </w:t>
      </w:r>
      <w:proofErr w:type="gramStart"/>
      <w:r w:rsidRPr="0045225A">
        <w:rPr>
          <w:rFonts w:ascii="Comic Sans MS" w:hAnsi="Comic Sans MS"/>
          <w:bCs/>
          <w:sz w:val="28"/>
        </w:rPr>
        <w:t>With</w:t>
      </w:r>
      <w:proofErr w:type="gramEnd"/>
      <w:r w:rsidRPr="0045225A">
        <w:rPr>
          <w:rFonts w:ascii="Comic Sans MS" w:hAnsi="Comic Sans MS"/>
          <w:bCs/>
          <w:sz w:val="28"/>
        </w:rPr>
        <w:t xml:space="preserve"> Other Instruments</w:t>
      </w:r>
      <w:bookmarkEnd w:id="6"/>
    </w:p>
    <w:p w:rsidR="002B60B7" w:rsidRDefault="002B60B7" w:rsidP="001F4529">
      <w:pPr>
        <w:jc w:val="both"/>
        <w:rPr>
          <w:rFonts w:ascii="Comic Sans MS" w:hAnsi="Comic Sans MS"/>
          <w:sz w:val="28"/>
          <w:szCs w:val="28"/>
        </w:rPr>
      </w:pPr>
      <w:r>
        <w:rPr>
          <w:rFonts w:ascii="Comic Sans MS" w:hAnsi="Comic Sans MS"/>
          <w:sz w:val="28"/>
          <w:szCs w:val="28"/>
        </w:rPr>
        <w:t xml:space="preserve">The EC states that the </w:t>
      </w:r>
      <w:r w:rsidRPr="003F15E9">
        <w:rPr>
          <w:rFonts w:ascii="Comic Sans MS" w:hAnsi="Comic Sans MS"/>
          <w:sz w:val="28"/>
          <w:szCs w:val="28"/>
        </w:rPr>
        <w:t>proposed GSP modalities build on solutions that comply</w:t>
      </w:r>
      <w:r>
        <w:rPr>
          <w:rFonts w:ascii="Comic Sans MS" w:hAnsi="Comic Sans MS"/>
          <w:sz w:val="28"/>
          <w:szCs w:val="28"/>
        </w:rPr>
        <w:t xml:space="preserve"> </w:t>
      </w:r>
      <w:r w:rsidRPr="003F15E9">
        <w:rPr>
          <w:rFonts w:ascii="Comic Sans MS" w:hAnsi="Comic Sans MS"/>
          <w:sz w:val="28"/>
          <w:szCs w:val="28"/>
        </w:rPr>
        <w:t xml:space="preserve">with the requirements – in particular the Enabling Clause – of the World Trade </w:t>
      </w:r>
      <w:proofErr w:type="spellStart"/>
      <w:r w:rsidRPr="003F15E9">
        <w:rPr>
          <w:rFonts w:ascii="Comic Sans MS" w:hAnsi="Comic Sans MS"/>
          <w:sz w:val="28"/>
          <w:szCs w:val="28"/>
        </w:rPr>
        <w:t>Organisation</w:t>
      </w:r>
      <w:proofErr w:type="spellEnd"/>
      <w:r w:rsidRPr="003F15E9">
        <w:rPr>
          <w:rFonts w:ascii="Comic Sans MS" w:hAnsi="Comic Sans MS"/>
          <w:sz w:val="28"/>
          <w:szCs w:val="28"/>
        </w:rPr>
        <w:t>,</w:t>
      </w:r>
      <w:r>
        <w:rPr>
          <w:rFonts w:ascii="Comic Sans MS" w:hAnsi="Comic Sans MS"/>
          <w:sz w:val="28"/>
          <w:szCs w:val="28"/>
        </w:rPr>
        <w:t xml:space="preserve"> </w:t>
      </w:r>
      <w:r w:rsidRPr="003F15E9">
        <w:rPr>
          <w:rFonts w:ascii="Comic Sans MS" w:hAnsi="Comic Sans MS"/>
          <w:sz w:val="28"/>
          <w:szCs w:val="28"/>
        </w:rPr>
        <w:t>and its objective to provide preferences to developing countries.</w:t>
      </w:r>
      <w:r>
        <w:rPr>
          <w:rStyle w:val="FootnoteReference"/>
          <w:rFonts w:ascii="Comic Sans MS" w:hAnsi="Comic Sans MS"/>
          <w:sz w:val="28"/>
          <w:szCs w:val="28"/>
        </w:rPr>
        <w:footnoteReference w:id="32"/>
      </w:r>
      <w:r w:rsidRPr="003F15E9">
        <w:rPr>
          <w:rFonts w:ascii="Comic Sans MS" w:hAnsi="Comic Sans MS"/>
          <w:sz w:val="28"/>
          <w:szCs w:val="28"/>
        </w:rPr>
        <w:t xml:space="preserve"> </w:t>
      </w:r>
      <w:r>
        <w:rPr>
          <w:rFonts w:ascii="Comic Sans MS" w:hAnsi="Comic Sans MS"/>
          <w:sz w:val="28"/>
          <w:szCs w:val="28"/>
        </w:rPr>
        <w:t xml:space="preserve">As has been observed elsewhere in this paper, </w:t>
      </w:r>
      <w:r w:rsidRPr="00BB72F5">
        <w:rPr>
          <w:rFonts w:ascii="Comic Sans MS" w:hAnsi="Comic Sans MS"/>
          <w:sz w:val="28"/>
          <w:szCs w:val="28"/>
        </w:rPr>
        <w:t xml:space="preserve">it is important to be particularly cautious in the interpretation </w:t>
      </w:r>
      <w:r>
        <w:rPr>
          <w:rFonts w:ascii="Comic Sans MS" w:hAnsi="Comic Sans MS"/>
          <w:sz w:val="28"/>
          <w:szCs w:val="28"/>
        </w:rPr>
        <w:t xml:space="preserve">of the </w:t>
      </w:r>
      <w:r w:rsidRPr="00BB72F5">
        <w:rPr>
          <w:rFonts w:ascii="Comic Sans MS" w:hAnsi="Comic Sans MS"/>
          <w:sz w:val="28"/>
          <w:szCs w:val="28"/>
        </w:rPr>
        <w:t>provisions</w:t>
      </w:r>
      <w:r>
        <w:rPr>
          <w:rStyle w:val="FootnoteReference"/>
          <w:rFonts w:ascii="Comic Sans MS" w:hAnsi="Comic Sans MS"/>
          <w:sz w:val="28"/>
          <w:szCs w:val="28"/>
        </w:rPr>
        <w:footnoteReference w:id="33"/>
      </w:r>
      <w:r w:rsidRPr="00BB72F5">
        <w:rPr>
          <w:rFonts w:ascii="Comic Sans MS" w:hAnsi="Comic Sans MS"/>
          <w:sz w:val="28"/>
          <w:szCs w:val="28"/>
        </w:rPr>
        <w:t xml:space="preserve"> </w:t>
      </w:r>
      <w:r>
        <w:rPr>
          <w:rFonts w:ascii="Comic Sans MS" w:hAnsi="Comic Sans MS"/>
          <w:sz w:val="28"/>
          <w:szCs w:val="28"/>
        </w:rPr>
        <w:t>of t</w:t>
      </w:r>
      <w:r w:rsidRPr="00BB72F5">
        <w:rPr>
          <w:rFonts w:ascii="Comic Sans MS" w:hAnsi="Comic Sans MS"/>
          <w:sz w:val="28"/>
          <w:szCs w:val="28"/>
        </w:rPr>
        <w:t xml:space="preserve">he Enabling Clause </w:t>
      </w:r>
      <w:r>
        <w:rPr>
          <w:rFonts w:ascii="Comic Sans MS" w:hAnsi="Comic Sans MS"/>
          <w:sz w:val="28"/>
          <w:szCs w:val="28"/>
        </w:rPr>
        <w:t xml:space="preserve">since it </w:t>
      </w:r>
      <w:r w:rsidRPr="00BB72F5">
        <w:rPr>
          <w:rFonts w:ascii="Comic Sans MS" w:hAnsi="Comic Sans MS"/>
          <w:sz w:val="28"/>
          <w:szCs w:val="28"/>
        </w:rPr>
        <w:t xml:space="preserve">is one of the most important instruments in the GATT and the WTO providing special and more </w:t>
      </w:r>
      <w:proofErr w:type="spellStart"/>
      <w:r w:rsidRPr="00BB72F5">
        <w:rPr>
          <w:rFonts w:ascii="Comic Sans MS" w:hAnsi="Comic Sans MS"/>
          <w:sz w:val="28"/>
          <w:szCs w:val="28"/>
        </w:rPr>
        <w:t>favourable</w:t>
      </w:r>
      <w:proofErr w:type="spellEnd"/>
      <w:r w:rsidRPr="00BB72F5">
        <w:rPr>
          <w:rFonts w:ascii="Comic Sans MS" w:hAnsi="Comic Sans MS"/>
          <w:sz w:val="28"/>
          <w:szCs w:val="28"/>
        </w:rPr>
        <w:t xml:space="preserve"> treatme</w:t>
      </w:r>
      <w:r>
        <w:rPr>
          <w:rFonts w:ascii="Comic Sans MS" w:hAnsi="Comic Sans MS"/>
          <w:sz w:val="28"/>
          <w:szCs w:val="28"/>
        </w:rPr>
        <w:t xml:space="preserve">nt for developing countries, and from which the </w:t>
      </w:r>
      <w:r w:rsidRPr="00BB72F5">
        <w:rPr>
          <w:rFonts w:ascii="Comic Sans MS" w:hAnsi="Comic Sans MS"/>
          <w:sz w:val="28"/>
          <w:szCs w:val="28"/>
        </w:rPr>
        <w:t>WTO developing countr</w:t>
      </w:r>
      <w:r>
        <w:rPr>
          <w:rFonts w:ascii="Comic Sans MS" w:hAnsi="Comic Sans MS"/>
          <w:sz w:val="28"/>
          <w:szCs w:val="28"/>
        </w:rPr>
        <w:t xml:space="preserve">ies </w:t>
      </w:r>
      <w:r w:rsidRPr="00BB72F5">
        <w:rPr>
          <w:rFonts w:ascii="Comic Sans MS" w:hAnsi="Comic Sans MS"/>
          <w:sz w:val="28"/>
          <w:szCs w:val="28"/>
        </w:rPr>
        <w:t>often draw significant benefits</w:t>
      </w:r>
      <w:r>
        <w:rPr>
          <w:rFonts w:ascii="Comic Sans MS" w:hAnsi="Comic Sans MS"/>
          <w:sz w:val="28"/>
          <w:szCs w:val="28"/>
        </w:rPr>
        <w:t>.</w:t>
      </w:r>
      <w:r w:rsidRPr="00BB72F5">
        <w:rPr>
          <w:rFonts w:ascii="Comic Sans MS" w:hAnsi="Comic Sans MS"/>
          <w:sz w:val="28"/>
          <w:szCs w:val="28"/>
        </w:rPr>
        <w:t xml:space="preserve"> </w:t>
      </w:r>
      <w:r>
        <w:rPr>
          <w:rFonts w:ascii="Comic Sans MS" w:hAnsi="Comic Sans MS"/>
          <w:sz w:val="28"/>
          <w:szCs w:val="28"/>
        </w:rPr>
        <w:t>In addition, both the Panel and the Appellate Body have pronounced themselves on the provisions of the Enabling Clause in the 2002-3</w:t>
      </w:r>
      <w:r w:rsidRPr="00B61228">
        <w:rPr>
          <w:rFonts w:ascii="Comic Sans MS" w:hAnsi="Comic Sans MS"/>
          <w:sz w:val="28"/>
          <w:szCs w:val="28"/>
        </w:rPr>
        <w:t xml:space="preserve"> case, </w:t>
      </w:r>
      <w:r w:rsidRPr="00EC1FC0">
        <w:rPr>
          <w:rFonts w:ascii="Comic Sans MS" w:hAnsi="Comic Sans MS"/>
          <w:i/>
          <w:sz w:val="28"/>
          <w:szCs w:val="28"/>
        </w:rPr>
        <w:t>European Communities – Conditions for Granting of Tariff Preferences to Developing Countries.</w:t>
      </w:r>
      <w:r>
        <w:rPr>
          <w:rStyle w:val="FootnoteReference"/>
          <w:rFonts w:ascii="Comic Sans MS" w:hAnsi="Comic Sans MS"/>
          <w:sz w:val="28"/>
          <w:szCs w:val="28"/>
        </w:rPr>
        <w:footnoteReference w:id="34"/>
      </w:r>
      <w:r>
        <w:rPr>
          <w:rFonts w:ascii="Comic Sans MS" w:hAnsi="Comic Sans MS"/>
          <w:sz w:val="28"/>
          <w:szCs w:val="28"/>
        </w:rPr>
        <w:t xml:space="preserve"> </w:t>
      </w:r>
      <w:r w:rsidRPr="001F4529">
        <w:rPr>
          <w:rFonts w:ascii="Comic Sans MS" w:hAnsi="Comic Sans MS"/>
          <w:sz w:val="28"/>
          <w:szCs w:val="28"/>
        </w:rPr>
        <w:t xml:space="preserve">As will be recalled, the EU’s </w:t>
      </w:r>
      <w:r>
        <w:rPr>
          <w:rFonts w:ascii="Comic Sans MS" w:hAnsi="Comic Sans MS"/>
          <w:sz w:val="28"/>
          <w:szCs w:val="28"/>
        </w:rPr>
        <w:t xml:space="preserve">2002-2004 </w:t>
      </w:r>
      <w:r w:rsidRPr="001F4529">
        <w:rPr>
          <w:rFonts w:ascii="Comic Sans MS" w:hAnsi="Comic Sans MS"/>
          <w:sz w:val="28"/>
          <w:szCs w:val="28"/>
        </w:rPr>
        <w:t>GSP scheme was challenged under the Enabling Clause before a WTO Panel by India in 2003.</w:t>
      </w:r>
      <w:r w:rsidRPr="001F4529">
        <w:rPr>
          <w:rStyle w:val="FootnoteReference"/>
          <w:rFonts w:ascii="Comic Sans MS" w:hAnsi="Comic Sans MS"/>
          <w:sz w:val="28"/>
          <w:szCs w:val="28"/>
        </w:rPr>
        <w:footnoteReference w:id="35"/>
      </w:r>
      <w:r w:rsidRPr="001F4529">
        <w:rPr>
          <w:rFonts w:ascii="Comic Sans MS" w:hAnsi="Comic Sans MS"/>
          <w:sz w:val="28"/>
          <w:szCs w:val="28"/>
        </w:rPr>
        <w:t xml:space="preserve"> </w:t>
      </w:r>
      <w:r>
        <w:rPr>
          <w:rFonts w:ascii="Comic Sans MS" w:hAnsi="Comic Sans MS"/>
          <w:sz w:val="28"/>
          <w:szCs w:val="28"/>
        </w:rPr>
        <w:t>This case also provides an interesting background to the EC GSP scheme proposal.</w:t>
      </w:r>
    </w:p>
    <w:p w:rsidR="002B60B7" w:rsidRDefault="002B60B7" w:rsidP="001F4529">
      <w:pPr>
        <w:jc w:val="both"/>
        <w:rPr>
          <w:rFonts w:ascii="Comic Sans MS" w:hAnsi="Comic Sans MS"/>
          <w:sz w:val="28"/>
          <w:szCs w:val="28"/>
        </w:rPr>
      </w:pPr>
      <w:r>
        <w:rPr>
          <w:rFonts w:ascii="Comic Sans MS" w:hAnsi="Comic Sans MS"/>
          <w:sz w:val="28"/>
          <w:szCs w:val="28"/>
        </w:rPr>
        <w:t xml:space="preserve"> </w:t>
      </w:r>
    </w:p>
    <w:p w:rsidR="002B60B7" w:rsidRDefault="002B60B7" w:rsidP="001F4529">
      <w:pPr>
        <w:jc w:val="both"/>
        <w:rPr>
          <w:rFonts w:ascii="Comic Sans MS" w:hAnsi="Comic Sans MS"/>
          <w:sz w:val="28"/>
          <w:szCs w:val="28"/>
        </w:rPr>
      </w:pPr>
      <w:r w:rsidRPr="001F4529">
        <w:rPr>
          <w:rFonts w:ascii="Comic Sans MS" w:hAnsi="Comic Sans MS"/>
          <w:sz w:val="28"/>
          <w:szCs w:val="28"/>
        </w:rPr>
        <w:t xml:space="preserve">The </w:t>
      </w:r>
      <w:r w:rsidRPr="00EC1FC0">
        <w:rPr>
          <w:rFonts w:ascii="Comic Sans MS" w:hAnsi="Comic Sans MS"/>
          <w:i/>
          <w:sz w:val="28"/>
          <w:szCs w:val="28"/>
        </w:rPr>
        <w:t>European Communities – Conditions for Granting of Tariff Preferences to Developing Countries</w:t>
      </w:r>
      <w:r w:rsidRPr="001F4529">
        <w:rPr>
          <w:rFonts w:ascii="Comic Sans MS" w:hAnsi="Comic Sans MS"/>
          <w:sz w:val="28"/>
          <w:szCs w:val="28"/>
        </w:rPr>
        <w:t xml:space="preserve"> dispute concerned special arrangements to combat drug production and trafficking (the Drug Arrangements) </w:t>
      </w:r>
      <w:r>
        <w:rPr>
          <w:rFonts w:ascii="Comic Sans MS" w:hAnsi="Comic Sans MS"/>
          <w:sz w:val="28"/>
          <w:szCs w:val="28"/>
        </w:rPr>
        <w:t xml:space="preserve">in the EC </w:t>
      </w:r>
      <w:r w:rsidRPr="001F4529">
        <w:rPr>
          <w:rFonts w:ascii="Comic Sans MS" w:hAnsi="Comic Sans MS"/>
          <w:sz w:val="28"/>
          <w:szCs w:val="28"/>
        </w:rPr>
        <w:t xml:space="preserve">scheme of generalized tariff </w:t>
      </w:r>
      <w:r w:rsidRPr="001F4529">
        <w:rPr>
          <w:rFonts w:ascii="Comic Sans MS" w:hAnsi="Comic Sans MS"/>
          <w:sz w:val="28"/>
          <w:szCs w:val="28"/>
        </w:rPr>
        <w:lastRenderedPageBreak/>
        <w:t>preferences for the period from 1 January 2002 to 31 December 2004</w:t>
      </w:r>
      <w:r>
        <w:rPr>
          <w:rFonts w:ascii="Comic Sans MS" w:hAnsi="Comic Sans MS"/>
          <w:sz w:val="28"/>
          <w:szCs w:val="28"/>
        </w:rPr>
        <w:t xml:space="preserve">. </w:t>
      </w:r>
      <w:r w:rsidRPr="001F4529">
        <w:rPr>
          <w:rFonts w:ascii="Comic Sans MS" w:hAnsi="Comic Sans MS"/>
          <w:sz w:val="28"/>
          <w:szCs w:val="28"/>
        </w:rPr>
        <w:t>The Drug Arrangements appl</w:t>
      </w:r>
      <w:r>
        <w:rPr>
          <w:rFonts w:ascii="Comic Sans MS" w:hAnsi="Comic Sans MS"/>
          <w:sz w:val="28"/>
          <w:szCs w:val="28"/>
        </w:rPr>
        <w:t>ied</w:t>
      </w:r>
      <w:r w:rsidRPr="001F4529">
        <w:rPr>
          <w:rFonts w:ascii="Comic Sans MS" w:hAnsi="Comic Sans MS"/>
          <w:sz w:val="28"/>
          <w:szCs w:val="28"/>
        </w:rPr>
        <w:t xml:space="preserve"> to </w:t>
      </w:r>
      <w:r>
        <w:rPr>
          <w:rFonts w:ascii="Comic Sans MS" w:hAnsi="Comic Sans MS"/>
          <w:sz w:val="28"/>
          <w:szCs w:val="28"/>
        </w:rPr>
        <w:t xml:space="preserve">only </w:t>
      </w:r>
      <w:r w:rsidRPr="001F4529">
        <w:rPr>
          <w:rFonts w:ascii="Comic Sans MS" w:hAnsi="Comic Sans MS"/>
          <w:sz w:val="28"/>
          <w:szCs w:val="28"/>
        </w:rPr>
        <w:t xml:space="preserve">12 </w:t>
      </w:r>
      <w:r>
        <w:rPr>
          <w:rFonts w:ascii="Comic Sans MS" w:hAnsi="Comic Sans MS"/>
          <w:sz w:val="28"/>
          <w:szCs w:val="28"/>
        </w:rPr>
        <w:t xml:space="preserve">beneficiary </w:t>
      </w:r>
      <w:r w:rsidRPr="001F4529">
        <w:rPr>
          <w:rFonts w:ascii="Comic Sans MS" w:hAnsi="Comic Sans MS"/>
          <w:sz w:val="28"/>
          <w:szCs w:val="28"/>
        </w:rPr>
        <w:t>countries.</w:t>
      </w:r>
      <w:r w:rsidRPr="001F4529">
        <w:rPr>
          <w:rStyle w:val="FootnoteReference"/>
          <w:rFonts w:ascii="Comic Sans MS" w:hAnsi="Comic Sans MS"/>
          <w:sz w:val="28"/>
          <w:szCs w:val="28"/>
        </w:rPr>
        <w:footnoteReference w:id="36"/>
      </w:r>
      <w:r>
        <w:rPr>
          <w:rFonts w:ascii="Comic Sans MS" w:hAnsi="Comic Sans MS"/>
          <w:sz w:val="28"/>
          <w:szCs w:val="28"/>
        </w:rPr>
        <w:t xml:space="preserve"> The </w:t>
      </w:r>
      <w:r w:rsidRPr="001F4529">
        <w:rPr>
          <w:rFonts w:ascii="Comic Sans MS" w:hAnsi="Comic Sans MS"/>
          <w:sz w:val="28"/>
          <w:szCs w:val="28"/>
        </w:rPr>
        <w:t xml:space="preserve">tariff reductions accorded under the Drug Arrangements to the 12 beneficiary countries were greater than the tariff reductions granted under the General Arrangements to other developing countries.  In respect of products that were included in the Drug Arrangements but not in the General Arrangements, the 12 beneficiary countries were granted </w:t>
      </w:r>
      <w:r w:rsidRPr="00EC1FC0">
        <w:rPr>
          <w:rFonts w:ascii="Comic Sans MS" w:hAnsi="Comic Sans MS"/>
          <w:sz w:val="28"/>
          <w:szCs w:val="28"/>
        </w:rPr>
        <w:t>duty free</w:t>
      </w:r>
      <w:r w:rsidRPr="001F4529">
        <w:rPr>
          <w:rFonts w:ascii="Comic Sans MS" w:hAnsi="Comic Sans MS"/>
          <w:sz w:val="28"/>
          <w:szCs w:val="28"/>
        </w:rPr>
        <w:t xml:space="preserve"> access to the European Communities' market, while all other developing countries had to pay the </w:t>
      </w:r>
      <w:r w:rsidRPr="00EC1FC0">
        <w:rPr>
          <w:rFonts w:ascii="Comic Sans MS" w:hAnsi="Comic Sans MS"/>
          <w:sz w:val="28"/>
          <w:szCs w:val="28"/>
        </w:rPr>
        <w:t xml:space="preserve">full duties applicable under the Common Customs Tariff. </w:t>
      </w:r>
      <w:r w:rsidRPr="001F4529">
        <w:rPr>
          <w:rFonts w:ascii="Comic Sans MS" w:hAnsi="Comic Sans MS"/>
          <w:sz w:val="28"/>
          <w:szCs w:val="28"/>
        </w:rPr>
        <w:t xml:space="preserve"> </w:t>
      </w:r>
    </w:p>
    <w:p w:rsidR="002B60B7" w:rsidRDefault="002B60B7" w:rsidP="001F4529">
      <w:pPr>
        <w:jc w:val="both"/>
        <w:rPr>
          <w:rFonts w:ascii="Comic Sans MS" w:hAnsi="Comic Sans MS"/>
          <w:sz w:val="28"/>
          <w:szCs w:val="28"/>
        </w:rPr>
      </w:pPr>
    </w:p>
    <w:p w:rsidR="002B60B7" w:rsidRDefault="002B60B7" w:rsidP="00C15D7A">
      <w:pPr>
        <w:jc w:val="both"/>
        <w:rPr>
          <w:rFonts w:ascii="Comic Sans MS" w:hAnsi="Comic Sans MS"/>
          <w:sz w:val="28"/>
          <w:szCs w:val="28"/>
        </w:rPr>
      </w:pPr>
      <w:r w:rsidRPr="001F4529">
        <w:rPr>
          <w:rFonts w:ascii="Comic Sans MS" w:hAnsi="Comic Sans MS"/>
          <w:sz w:val="28"/>
          <w:szCs w:val="28"/>
        </w:rPr>
        <w:t>India requested the Panel to find that the Drug Arrangements were not justifie</w:t>
      </w:r>
      <w:r>
        <w:rPr>
          <w:rFonts w:ascii="Comic Sans MS" w:hAnsi="Comic Sans MS"/>
          <w:sz w:val="28"/>
          <w:szCs w:val="28"/>
        </w:rPr>
        <w:t>d under</w:t>
      </w:r>
      <w:r w:rsidRPr="001F4529">
        <w:rPr>
          <w:rFonts w:ascii="Comic Sans MS" w:hAnsi="Comic Sans MS"/>
          <w:sz w:val="28"/>
          <w:szCs w:val="28"/>
        </w:rPr>
        <w:t xml:space="preserve"> the Enabling Clause, and requested </w:t>
      </w:r>
      <w:r>
        <w:rPr>
          <w:rFonts w:ascii="Comic Sans MS" w:hAnsi="Comic Sans MS"/>
          <w:sz w:val="28"/>
          <w:szCs w:val="28"/>
        </w:rPr>
        <w:t xml:space="preserve">also </w:t>
      </w:r>
      <w:r w:rsidRPr="001F4529">
        <w:rPr>
          <w:rFonts w:ascii="Comic Sans MS" w:hAnsi="Comic Sans MS"/>
          <w:sz w:val="28"/>
          <w:szCs w:val="28"/>
        </w:rPr>
        <w:t>that the tariff preferences granted under the Drug Arrangements be granted to all other developing country Members consistently with the Enabling Clause, or that the EC obtain a waiver from its obligations under Article I</w:t>
      </w:r>
      <w:proofErr w:type="gramStart"/>
      <w:r w:rsidRPr="001F4529">
        <w:rPr>
          <w:rFonts w:ascii="Comic Sans MS" w:hAnsi="Comic Sans MS"/>
          <w:sz w:val="28"/>
          <w:szCs w:val="28"/>
        </w:rPr>
        <w:t>:1</w:t>
      </w:r>
      <w:proofErr w:type="gramEnd"/>
      <w:r w:rsidRPr="001F4529">
        <w:rPr>
          <w:rFonts w:ascii="Comic Sans MS" w:hAnsi="Comic Sans MS"/>
          <w:sz w:val="28"/>
          <w:szCs w:val="28"/>
        </w:rPr>
        <w:t xml:space="preserve"> of GATT 1994 on terms and conditions satisfactory to Members. The EU argued, </w:t>
      </w:r>
      <w:r>
        <w:rPr>
          <w:rFonts w:ascii="Comic Sans MS" w:hAnsi="Comic Sans MS"/>
          <w:sz w:val="28"/>
          <w:szCs w:val="28"/>
        </w:rPr>
        <w:t xml:space="preserve">on the other hand, </w:t>
      </w:r>
      <w:r w:rsidRPr="001F4529">
        <w:rPr>
          <w:rFonts w:ascii="Comic Sans MS" w:hAnsi="Comic Sans MS"/>
          <w:sz w:val="28"/>
          <w:szCs w:val="28"/>
        </w:rPr>
        <w:t>that the Drug Arrangements fell within the scope of the Enabling Clause.</w:t>
      </w:r>
      <w:r>
        <w:rPr>
          <w:rFonts w:ascii="Comic Sans MS" w:hAnsi="Comic Sans MS"/>
          <w:sz w:val="28"/>
          <w:szCs w:val="28"/>
        </w:rPr>
        <w:t xml:space="preserve"> </w:t>
      </w:r>
      <w:r w:rsidRPr="00C6531E">
        <w:rPr>
          <w:rFonts w:ascii="Comic Sans MS" w:hAnsi="Comic Sans MS"/>
          <w:sz w:val="28"/>
          <w:szCs w:val="28"/>
        </w:rPr>
        <w:t>Both the Panel</w:t>
      </w:r>
      <w:r w:rsidRPr="00C6531E">
        <w:rPr>
          <w:rStyle w:val="FootnoteReference"/>
          <w:rFonts w:ascii="Comic Sans MS" w:hAnsi="Comic Sans MS"/>
          <w:sz w:val="28"/>
          <w:szCs w:val="28"/>
        </w:rPr>
        <w:footnoteReference w:id="37"/>
      </w:r>
      <w:r w:rsidRPr="00C6531E">
        <w:rPr>
          <w:rFonts w:ascii="Comic Sans MS" w:hAnsi="Comic Sans MS"/>
          <w:sz w:val="28"/>
          <w:szCs w:val="28"/>
        </w:rPr>
        <w:t xml:space="preserve"> and the Appellate Body</w:t>
      </w:r>
      <w:r w:rsidRPr="00C6531E">
        <w:rPr>
          <w:rStyle w:val="FootnoteReference"/>
          <w:rFonts w:ascii="Comic Sans MS" w:hAnsi="Comic Sans MS"/>
          <w:sz w:val="28"/>
          <w:szCs w:val="28"/>
        </w:rPr>
        <w:footnoteReference w:id="38"/>
      </w:r>
      <w:r>
        <w:rPr>
          <w:rFonts w:ascii="Comic Sans MS" w:hAnsi="Comic Sans MS"/>
          <w:sz w:val="28"/>
          <w:szCs w:val="28"/>
        </w:rPr>
        <w:t xml:space="preserve"> </w:t>
      </w:r>
      <w:r w:rsidRPr="00C6531E">
        <w:rPr>
          <w:rFonts w:ascii="Comic Sans MS" w:hAnsi="Comic Sans MS"/>
          <w:sz w:val="28"/>
          <w:szCs w:val="28"/>
        </w:rPr>
        <w:t>ruled</w:t>
      </w:r>
      <w:r>
        <w:rPr>
          <w:rFonts w:ascii="Comic Sans MS" w:hAnsi="Comic Sans MS"/>
          <w:sz w:val="28"/>
          <w:szCs w:val="28"/>
        </w:rPr>
        <w:t xml:space="preserve">, for different </w:t>
      </w:r>
      <w:proofErr w:type="gramStart"/>
      <w:r>
        <w:rPr>
          <w:rFonts w:ascii="Comic Sans MS" w:hAnsi="Comic Sans MS"/>
          <w:sz w:val="28"/>
          <w:szCs w:val="28"/>
        </w:rPr>
        <w:t>reasons,</w:t>
      </w:r>
      <w:r w:rsidRPr="00C6531E">
        <w:rPr>
          <w:rFonts w:ascii="Comic Sans MS" w:hAnsi="Comic Sans MS"/>
          <w:sz w:val="28"/>
          <w:szCs w:val="28"/>
        </w:rPr>
        <w:t xml:space="preserve"> that</w:t>
      </w:r>
      <w:proofErr w:type="gramEnd"/>
      <w:r w:rsidRPr="00C6531E">
        <w:rPr>
          <w:rFonts w:ascii="Comic Sans MS" w:hAnsi="Comic Sans MS"/>
          <w:sz w:val="28"/>
          <w:szCs w:val="28"/>
        </w:rPr>
        <w:t xml:space="preserve"> the European Communities failed to demonstrate that the Drug Arrangements were justified under the Enabling Clause</w:t>
      </w:r>
      <w:r>
        <w:rPr>
          <w:rFonts w:ascii="Comic Sans MS" w:hAnsi="Comic Sans MS"/>
          <w:sz w:val="28"/>
          <w:szCs w:val="28"/>
        </w:rPr>
        <w:t>.</w:t>
      </w:r>
    </w:p>
    <w:p w:rsidR="002B60B7" w:rsidRDefault="002B60B7" w:rsidP="00C15D7A">
      <w:pPr>
        <w:jc w:val="both"/>
        <w:rPr>
          <w:rFonts w:ascii="Comic Sans MS" w:hAnsi="Comic Sans MS"/>
          <w:sz w:val="28"/>
          <w:szCs w:val="28"/>
        </w:rPr>
      </w:pPr>
    </w:p>
    <w:p w:rsidR="002B60B7" w:rsidRPr="004E3118" w:rsidRDefault="002B60B7" w:rsidP="002A3791">
      <w:pPr>
        <w:pStyle w:val="Heading4"/>
        <w:rPr>
          <w:rFonts w:ascii="Comic Sans MS" w:hAnsi="Comic Sans MS"/>
          <w:b/>
          <w:sz w:val="24"/>
          <w:szCs w:val="24"/>
        </w:rPr>
      </w:pPr>
      <w:bookmarkStart w:id="7" w:name="_Toc295486238"/>
      <w:r w:rsidRPr="004E3118">
        <w:rPr>
          <w:rFonts w:ascii="Comic Sans MS" w:hAnsi="Comic Sans MS"/>
          <w:b/>
          <w:sz w:val="24"/>
          <w:szCs w:val="24"/>
        </w:rPr>
        <w:lastRenderedPageBreak/>
        <w:t>Differentiating Between Developing Countries</w:t>
      </w:r>
      <w:bookmarkEnd w:id="7"/>
    </w:p>
    <w:p w:rsidR="002B60B7" w:rsidRPr="00DE2CDA" w:rsidRDefault="002B60B7" w:rsidP="00DE2CDA">
      <w:pPr>
        <w:jc w:val="both"/>
        <w:rPr>
          <w:rFonts w:ascii="Comic Sans MS" w:hAnsi="Comic Sans MS"/>
          <w:sz w:val="28"/>
          <w:szCs w:val="28"/>
        </w:rPr>
      </w:pPr>
      <w:r w:rsidRPr="008C53BF">
        <w:rPr>
          <w:rFonts w:ascii="Comic Sans MS" w:hAnsi="Comic Sans MS"/>
          <w:sz w:val="28"/>
          <w:szCs w:val="28"/>
        </w:rPr>
        <w:t xml:space="preserve">India had </w:t>
      </w:r>
      <w:r>
        <w:rPr>
          <w:rFonts w:ascii="Comic Sans MS" w:hAnsi="Comic Sans MS"/>
          <w:sz w:val="28"/>
          <w:szCs w:val="28"/>
        </w:rPr>
        <w:t xml:space="preserve">argued </w:t>
      </w:r>
      <w:r w:rsidRPr="008C53BF">
        <w:rPr>
          <w:rFonts w:ascii="Comic Sans MS" w:hAnsi="Comic Sans MS"/>
          <w:sz w:val="28"/>
          <w:szCs w:val="28"/>
        </w:rPr>
        <w:t xml:space="preserve">that all beneficiaries of a particular Member's GSP scheme </w:t>
      </w:r>
      <w:r w:rsidRPr="00E11AA7">
        <w:rPr>
          <w:rFonts w:ascii="Comic Sans MS" w:hAnsi="Comic Sans MS"/>
          <w:sz w:val="28"/>
          <w:szCs w:val="28"/>
        </w:rPr>
        <w:t xml:space="preserve">are </w:t>
      </w:r>
      <w:r w:rsidRPr="008C53BF">
        <w:rPr>
          <w:rFonts w:ascii="Comic Sans MS" w:hAnsi="Comic Sans MS"/>
          <w:sz w:val="28"/>
          <w:szCs w:val="28"/>
        </w:rPr>
        <w:t xml:space="preserve">similarly-situated, implicitly arguing that any differential treatment of such beneficiaries constitutes discrimination, while the European Communities </w:t>
      </w:r>
      <w:r>
        <w:rPr>
          <w:rFonts w:ascii="Comic Sans MS" w:hAnsi="Comic Sans MS"/>
          <w:sz w:val="28"/>
          <w:szCs w:val="28"/>
        </w:rPr>
        <w:t>argued that GSP beneficiaries are</w:t>
      </w:r>
      <w:r w:rsidRPr="008C53BF">
        <w:rPr>
          <w:rFonts w:ascii="Comic Sans MS" w:hAnsi="Comic Sans MS"/>
          <w:sz w:val="28"/>
          <w:szCs w:val="28"/>
        </w:rPr>
        <w:t xml:space="preserve"> similarly-situated </w:t>
      </w:r>
      <w:r>
        <w:rPr>
          <w:rFonts w:ascii="Comic Sans MS" w:hAnsi="Comic Sans MS"/>
          <w:sz w:val="28"/>
          <w:szCs w:val="28"/>
        </w:rPr>
        <w:t xml:space="preserve">only </w:t>
      </w:r>
      <w:r w:rsidRPr="008C53BF">
        <w:rPr>
          <w:rFonts w:ascii="Comic Sans MS" w:hAnsi="Comic Sans MS"/>
          <w:sz w:val="28"/>
          <w:szCs w:val="28"/>
        </w:rPr>
        <w:t xml:space="preserve">when they have </w:t>
      </w:r>
      <w:r w:rsidRPr="00EC1FC0">
        <w:rPr>
          <w:rFonts w:ascii="Comic Sans MS" w:hAnsi="Comic Sans MS"/>
          <w:i/>
          <w:sz w:val="28"/>
          <w:szCs w:val="28"/>
        </w:rPr>
        <w:t xml:space="preserve">similar </w:t>
      </w:r>
      <w:r w:rsidRPr="008C53BF">
        <w:rPr>
          <w:rFonts w:ascii="Comic Sans MS" w:hAnsi="Comic Sans MS"/>
          <w:sz w:val="28"/>
          <w:szCs w:val="28"/>
        </w:rPr>
        <w:t xml:space="preserve">development needs. </w:t>
      </w:r>
      <w:bookmarkStart w:id="8" w:name="_Ref66514884"/>
      <w:r w:rsidRPr="00DE2CDA">
        <w:rPr>
          <w:rFonts w:ascii="Comic Sans MS" w:hAnsi="Comic Sans MS"/>
          <w:sz w:val="28"/>
          <w:szCs w:val="28"/>
        </w:rPr>
        <w:t>The Appel</w:t>
      </w:r>
      <w:r>
        <w:rPr>
          <w:rFonts w:ascii="Comic Sans MS" w:hAnsi="Comic Sans MS"/>
          <w:sz w:val="28"/>
          <w:szCs w:val="28"/>
        </w:rPr>
        <w:t>l</w:t>
      </w:r>
      <w:r w:rsidRPr="00DE2CDA">
        <w:rPr>
          <w:rFonts w:ascii="Comic Sans MS" w:hAnsi="Comic Sans MS"/>
          <w:sz w:val="28"/>
          <w:szCs w:val="28"/>
        </w:rPr>
        <w:t>ate Body ruled that it read the Enabling Clause</w:t>
      </w:r>
      <w:r w:rsidRPr="00DE2CDA">
        <w:rPr>
          <w:rStyle w:val="FootnoteReference"/>
          <w:rFonts w:ascii="Comic Sans MS" w:hAnsi="Comic Sans MS"/>
          <w:sz w:val="28"/>
          <w:szCs w:val="28"/>
        </w:rPr>
        <w:footnoteReference w:id="39"/>
      </w:r>
      <w:r w:rsidRPr="00DE2CDA">
        <w:rPr>
          <w:rFonts w:ascii="Comic Sans MS" w:hAnsi="Comic Sans MS"/>
          <w:sz w:val="28"/>
          <w:szCs w:val="28"/>
        </w:rPr>
        <w:t xml:space="preserve"> as authorizing preference-granting countries to respond positively to needs that are </w:t>
      </w:r>
      <w:r w:rsidRPr="00DE2CDA">
        <w:rPr>
          <w:rFonts w:ascii="Comic Sans MS" w:hAnsi="Comic Sans MS"/>
          <w:i/>
          <w:sz w:val="28"/>
          <w:szCs w:val="28"/>
        </w:rPr>
        <w:t>not</w:t>
      </w:r>
      <w:r w:rsidRPr="00DE2CDA">
        <w:rPr>
          <w:rFonts w:ascii="Comic Sans MS" w:hAnsi="Comic Sans MS"/>
          <w:sz w:val="28"/>
          <w:szCs w:val="28"/>
        </w:rPr>
        <w:t> necessarily common or shared by all developing countries.</w:t>
      </w:r>
      <w:bookmarkEnd w:id="8"/>
      <w:r w:rsidRPr="00DE2CDA">
        <w:rPr>
          <w:rFonts w:ascii="Comic Sans MS" w:hAnsi="Comic Sans MS"/>
          <w:sz w:val="28"/>
          <w:szCs w:val="28"/>
        </w:rPr>
        <w:t xml:space="preserve">  Responding to the needs of developing countries, the Appel</w:t>
      </w:r>
      <w:r>
        <w:rPr>
          <w:rFonts w:ascii="Comic Sans MS" w:hAnsi="Comic Sans MS"/>
          <w:sz w:val="28"/>
          <w:szCs w:val="28"/>
        </w:rPr>
        <w:t>l</w:t>
      </w:r>
      <w:r w:rsidRPr="00DE2CDA">
        <w:rPr>
          <w:rFonts w:ascii="Comic Sans MS" w:hAnsi="Comic Sans MS"/>
          <w:sz w:val="28"/>
          <w:szCs w:val="28"/>
        </w:rPr>
        <w:t>ate Body further ruled, may thus entail treating different developing-country beneficiaries differently.</w:t>
      </w:r>
      <w:r w:rsidRPr="00DE2CDA">
        <w:rPr>
          <w:rStyle w:val="FootnoteReference"/>
          <w:rFonts w:ascii="Comic Sans MS" w:hAnsi="Comic Sans MS"/>
          <w:sz w:val="28"/>
          <w:szCs w:val="28"/>
        </w:rPr>
        <w:footnoteReference w:id="40"/>
      </w:r>
      <w:r w:rsidRPr="00DE2CDA">
        <w:rPr>
          <w:rFonts w:ascii="Comic Sans MS" w:hAnsi="Comic Sans MS"/>
          <w:sz w:val="28"/>
          <w:szCs w:val="28"/>
        </w:rPr>
        <w:t xml:space="preserve">  </w:t>
      </w:r>
    </w:p>
    <w:p w:rsidR="002B60B7" w:rsidRDefault="002B60B7" w:rsidP="008C53BF">
      <w:pPr>
        <w:jc w:val="both"/>
        <w:rPr>
          <w:rFonts w:ascii="Comic Sans MS" w:hAnsi="Comic Sans MS"/>
          <w:sz w:val="28"/>
          <w:szCs w:val="28"/>
        </w:rPr>
      </w:pPr>
      <w:bookmarkStart w:id="9" w:name="_Ref66509789"/>
      <w:bookmarkStart w:id="10" w:name="_Ref67738235"/>
    </w:p>
    <w:p w:rsidR="002B60B7" w:rsidRPr="005A2A58" w:rsidRDefault="002B60B7" w:rsidP="008C53BF">
      <w:pPr>
        <w:jc w:val="both"/>
        <w:rPr>
          <w:rFonts w:ascii="Comic Sans MS" w:hAnsi="Comic Sans MS"/>
          <w:sz w:val="28"/>
          <w:szCs w:val="28"/>
        </w:rPr>
      </w:pPr>
      <w:r w:rsidRPr="005A2A58">
        <w:rPr>
          <w:rFonts w:ascii="Comic Sans MS" w:hAnsi="Comic Sans MS"/>
          <w:sz w:val="28"/>
          <w:szCs w:val="28"/>
        </w:rPr>
        <w:t>The Appel</w:t>
      </w:r>
      <w:r>
        <w:rPr>
          <w:rFonts w:ascii="Comic Sans MS" w:hAnsi="Comic Sans MS"/>
          <w:sz w:val="28"/>
          <w:szCs w:val="28"/>
        </w:rPr>
        <w:t>l</w:t>
      </w:r>
      <w:r w:rsidRPr="005A2A58">
        <w:rPr>
          <w:rFonts w:ascii="Comic Sans MS" w:hAnsi="Comic Sans MS"/>
          <w:sz w:val="28"/>
          <w:szCs w:val="28"/>
        </w:rPr>
        <w:t>ate Body further stated that, in its view, by requiring developed countri</w:t>
      </w:r>
      <w:r>
        <w:rPr>
          <w:rFonts w:ascii="Comic Sans MS" w:hAnsi="Comic Sans MS"/>
          <w:sz w:val="28"/>
          <w:szCs w:val="28"/>
        </w:rPr>
        <w:t xml:space="preserve">es to </w:t>
      </w:r>
      <w:r w:rsidRPr="005A2A58">
        <w:rPr>
          <w:rFonts w:ascii="Comic Sans MS" w:hAnsi="Comic Sans MS"/>
          <w:sz w:val="28"/>
          <w:szCs w:val="28"/>
        </w:rPr>
        <w:t>respond positively</w:t>
      </w:r>
      <w:r>
        <w:rPr>
          <w:rFonts w:ascii="Comic Sans MS" w:hAnsi="Comic Sans MS"/>
          <w:sz w:val="28"/>
          <w:szCs w:val="28"/>
        </w:rPr>
        <w:t xml:space="preserve"> to the </w:t>
      </w:r>
      <w:r w:rsidRPr="005A2A58">
        <w:rPr>
          <w:rFonts w:ascii="Comic Sans MS" w:hAnsi="Comic Sans MS"/>
          <w:sz w:val="28"/>
          <w:szCs w:val="28"/>
        </w:rPr>
        <w:t>needs of developing countries, which are varied and not ho</w:t>
      </w:r>
      <w:r>
        <w:rPr>
          <w:rFonts w:ascii="Comic Sans MS" w:hAnsi="Comic Sans MS"/>
          <w:sz w:val="28"/>
          <w:szCs w:val="28"/>
        </w:rPr>
        <w:t xml:space="preserve">mogeneous, the Enabling Clause </w:t>
      </w:r>
      <w:r w:rsidRPr="005A2A58">
        <w:rPr>
          <w:rFonts w:ascii="Comic Sans MS" w:hAnsi="Comic Sans MS"/>
          <w:sz w:val="28"/>
          <w:szCs w:val="28"/>
        </w:rPr>
        <w:t>indi</w:t>
      </w:r>
      <w:r>
        <w:rPr>
          <w:rFonts w:ascii="Comic Sans MS" w:hAnsi="Comic Sans MS"/>
          <w:sz w:val="28"/>
          <w:szCs w:val="28"/>
        </w:rPr>
        <w:t xml:space="preserve">cates that a GSP scheme may be </w:t>
      </w:r>
      <w:r w:rsidRPr="005A2A58">
        <w:rPr>
          <w:rFonts w:ascii="Comic Sans MS" w:hAnsi="Comic Sans MS"/>
          <w:sz w:val="28"/>
          <w:szCs w:val="28"/>
        </w:rPr>
        <w:t>non-discriminatory</w:t>
      </w:r>
      <w:r>
        <w:rPr>
          <w:rFonts w:ascii="Comic Sans MS" w:hAnsi="Comic Sans MS"/>
          <w:sz w:val="28"/>
          <w:szCs w:val="28"/>
        </w:rPr>
        <w:t xml:space="preserve"> even if </w:t>
      </w:r>
      <w:r w:rsidRPr="005A2A58">
        <w:rPr>
          <w:rFonts w:ascii="Comic Sans MS" w:hAnsi="Comic Sans MS"/>
          <w:sz w:val="28"/>
          <w:szCs w:val="28"/>
        </w:rPr>
        <w:t>identical tariff tr</w:t>
      </w:r>
      <w:r>
        <w:rPr>
          <w:rFonts w:ascii="Comic Sans MS" w:hAnsi="Comic Sans MS"/>
          <w:sz w:val="28"/>
          <w:szCs w:val="28"/>
        </w:rPr>
        <w:t>eatment is not accorded to all</w:t>
      </w:r>
      <w:r w:rsidRPr="005A2A58">
        <w:rPr>
          <w:rFonts w:ascii="Comic Sans MS" w:hAnsi="Comic Sans MS"/>
          <w:sz w:val="28"/>
          <w:szCs w:val="28"/>
        </w:rPr>
        <w:t xml:space="preserve"> GSP beneficiaries.  And</w:t>
      </w:r>
      <w:r>
        <w:rPr>
          <w:rFonts w:ascii="Comic Sans MS" w:hAnsi="Comic Sans MS"/>
          <w:sz w:val="28"/>
          <w:szCs w:val="28"/>
        </w:rPr>
        <w:t>,</w:t>
      </w:r>
      <w:r w:rsidRPr="005A2A58">
        <w:rPr>
          <w:rFonts w:ascii="Comic Sans MS" w:hAnsi="Comic Sans MS"/>
          <w:sz w:val="28"/>
          <w:szCs w:val="28"/>
        </w:rPr>
        <w:t xml:space="preserve"> further, </w:t>
      </w:r>
      <w:r>
        <w:rPr>
          <w:rFonts w:ascii="Comic Sans MS" w:hAnsi="Comic Sans MS"/>
          <w:sz w:val="28"/>
          <w:szCs w:val="28"/>
        </w:rPr>
        <w:t xml:space="preserve">that </w:t>
      </w:r>
      <w:r w:rsidRPr="005A2A58">
        <w:rPr>
          <w:rFonts w:ascii="Comic Sans MS" w:hAnsi="Comic Sans MS"/>
          <w:sz w:val="28"/>
          <w:szCs w:val="28"/>
        </w:rPr>
        <w:t>tariff prefer</w:t>
      </w:r>
      <w:r>
        <w:rPr>
          <w:rFonts w:ascii="Comic Sans MS" w:hAnsi="Comic Sans MS"/>
          <w:sz w:val="28"/>
          <w:szCs w:val="28"/>
        </w:rPr>
        <w:t xml:space="preserve">ences under GSP schemes may be </w:t>
      </w:r>
      <w:r w:rsidRPr="005A2A58">
        <w:rPr>
          <w:rFonts w:ascii="Comic Sans MS" w:hAnsi="Comic Sans MS"/>
          <w:sz w:val="28"/>
          <w:szCs w:val="28"/>
        </w:rPr>
        <w:t>non-discriminatory when the relevant tariff preferences are addressed to particular development, financial or trade needs and are made available to all beneficiaries that share t</w:t>
      </w:r>
      <w:bookmarkEnd w:id="9"/>
      <w:r w:rsidRPr="005A2A58">
        <w:rPr>
          <w:rFonts w:ascii="Comic Sans MS" w:hAnsi="Comic Sans MS"/>
          <w:sz w:val="28"/>
          <w:szCs w:val="28"/>
        </w:rPr>
        <w:t>hat need.</w:t>
      </w:r>
      <w:bookmarkEnd w:id="10"/>
      <w:r w:rsidRPr="005A2A58">
        <w:rPr>
          <w:rStyle w:val="FootnoteReference"/>
          <w:rFonts w:ascii="Comic Sans MS" w:hAnsi="Comic Sans MS"/>
          <w:sz w:val="28"/>
          <w:szCs w:val="28"/>
        </w:rPr>
        <w:footnoteReference w:id="41"/>
      </w:r>
    </w:p>
    <w:p w:rsidR="002B60B7" w:rsidRDefault="002B60B7" w:rsidP="008C53BF">
      <w:pPr>
        <w:jc w:val="both"/>
        <w:rPr>
          <w:rFonts w:ascii="Comic Sans MS" w:hAnsi="Comic Sans MS"/>
          <w:sz w:val="28"/>
          <w:szCs w:val="28"/>
        </w:rPr>
      </w:pPr>
    </w:p>
    <w:p w:rsidR="002B60B7" w:rsidRDefault="002B60B7" w:rsidP="00FC1ED7">
      <w:pPr>
        <w:jc w:val="both"/>
        <w:rPr>
          <w:rFonts w:ascii="Comic Sans MS" w:hAnsi="Comic Sans MS"/>
          <w:sz w:val="28"/>
          <w:szCs w:val="28"/>
        </w:rPr>
      </w:pPr>
      <w:r w:rsidRPr="00437253">
        <w:rPr>
          <w:rFonts w:ascii="Comic Sans MS" w:hAnsi="Comic Sans MS"/>
          <w:sz w:val="28"/>
          <w:szCs w:val="28"/>
        </w:rPr>
        <w:t>The Appel</w:t>
      </w:r>
      <w:r>
        <w:rPr>
          <w:rFonts w:ascii="Comic Sans MS" w:hAnsi="Comic Sans MS"/>
          <w:sz w:val="28"/>
          <w:szCs w:val="28"/>
        </w:rPr>
        <w:t>l</w:t>
      </w:r>
      <w:r w:rsidRPr="00437253">
        <w:rPr>
          <w:rFonts w:ascii="Comic Sans MS" w:hAnsi="Comic Sans MS"/>
          <w:sz w:val="28"/>
          <w:szCs w:val="28"/>
        </w:rPr>
        <w:t xml:space="preserve">ate Body also ruled that the needs of developing countries may vary over time, and </w:t>
      </w:r>
      <w:r>
        <w:rPr>
          <w:rFonts w:ascii="Comic Sans MS" w:hAnsi="Comic Sans MS"/>
          <w:sz w:val="28"/>
          <w:szCs w:val="28"/>
        </w:rPr>
        <w:t xml:space="preserve">stated </w:t>
      </w:r>
      <w:r w:rsidRPr="00437253">
        <w:rPr>
          <w:rFonts w:ascii="Comic Sans MS" w:hAnsi="Comic Sans MS"/>
          <w:sz w:val="28"/>
          <w:szCs w:val="28"/>
        </w:rPr>
        <w:t>that the objective of i</w:t>
      </w:r>
      <w:r>
        <w:rPr>
          <w:rFonts w:ascii="Comic Sans MS" w:hAnsi="Comic Sans MS"/>
          <w:sz w:val="28"/>
          <w:szCs w:val="28"/>
        </w:rPr>
        <w:t xml:space="preserve">mproving developing countries' </w:t>
      </w:r>
      <w:r w:rsidRPr="00437253">
        <w:rPr>
          <w:rFonts w:ascii="Comic Sans MS" w:hAnsi="Comic Sans MS"/>
          <w:sz w:val="28"/>
          <w:szCs w:val="28"/>
        </w:rPr>
        <w:t>share in th</w:t>
      </w:r>
      <w:r>
        <w:rPr>
          <w:rFonts w:ascii="Comic Sans MS" w:hAnsi="Comic Sans MS"/>
          <w:sz w:val="28"/>
          <w:szCs w:val="28"/>
        </w:rPr>
        <w:t>e growth in international trade, and their trade and export earnings</w:t>
      </w:r>
      <w:r w:rsidRPr="00437253">
        <w:rPr>
          <w:rFonts w:ascii="Comic Sans MS" w:hAnsi="Comic Sans MS"/>
          <w:sz w:val="28"/>
          <w:szCs w:val="28"/>
        </w:rPr>
        <w:t xml:space="preserve">, can be </w:t>
      </w:r>
      <w:r w:rsidRPr="00437253">
        <w:rPr>
          <w:rFonts w:ascii="Comic Sans MS" w:hAnsi="Comic Sans MS"/>
          <w:sz w:val="28"/>
          <w:szCs w:val="28"/>
        </w:rPr>
        <w:lastRenderedPageBreak/>
        <w:t xml:space="preserve">fulfilled by promoting preferential policies aimed at those interests that developing countries have in common, </w:t>
      </w:r>
      <w:r w:rsidRPr="00437253">
        <w:rPr>
          <w:rFonts w:ascii="Comic Sans MS" w:hAnsi="Comic Sans MS"/>
          <w:i/>
          <w:iCs/>
          <w:sz w:val="28"/>
          <w:szCs w:val="28"/>
        </w:rPr>
        <w:t>as well as </w:t>
      </w:r>
      <w:r w:rsidRPr="00437253">
        <w:rPr>
          <w:rFonts w:ascii="Comic Sans MS" w:hAnsi="Comic Sans MS"/>
          <w:sz w:val="28"/>
          <w:szCs w:val="28"/>
        </w:rPr>
        <w:t>at those interests shared by sub-categories of developing countries based on their particular needs.  So, according to the Appel</w:t>
      </w:r>
      <w:r>
        <w:rPr>
          <w:rFonts w:ascii="Comic Sans MS" w:hAnsi="Comic Sans MS"/>
          <w:sz w:val="28"/>
          <w:szCs w:val="28"/>
        </w:rPr>
        <w:t>l</w:t>
      </w:r>
      <w:r w:rsidRPr="00437253">
        <w:rPr>
          <w:rFonts w:ascii="Comic Sans MS" w:hAnsi="Comic Sans MS"/>
          <w:sz w:val="28"/>
          <w:szCs w:val="28"/>
        </w:rPr>
        <w:t xml:space="preserve">ate Body, the Enabling Clause allows not only for GSP schemes providing preferential market access to all beneficiaries, but also the possibility of </w:t>
      </w:r>
      <w:r w:rsidRPr="00C15D7A">
        <w:rPr>
          <w:rFonts w:ascii="Comic Sans MS" w:hAnsi="Comic Sans MS"/>
          <w:i/>
          <w:sz w:val="28"/>
          <w:szCs w:val="28"/>
        </w:rPr>
        <w:t>additional</w:t>
      </w:r>
      <w:r w:rsidRPr="00437253">
        <w:rPr>
          <w:rFonts w:ascii="Comic Sans MS" w:hAnsi="Comic Sans MS"/>
          <w:sz w:val="28"/>
          <w:szCs w:val="28"/>
        </w:rPr>
        <w:t xml:space="preserve"> preferences for developing countries with particular needs, provided that such additional preferences are not inconsistent with other provisions of the Enabling Clause, including the require</w:t>
      </w:r>
      <w:r>
        <w:rPr>
          <w:rFonts w:ascii="Comic Sans MS" w:hAnsi="Comic Sans MS"/>
          <w:sz w:val="28"/>
          <w:szCs w:val="28"/>
        </w:rPr>
        <w:t xml:space="preserve">ments that such preferences be </w:t>
      </w:r>
      <w:r w:rsidRPr="00437253">
        <w:rPr>
          <w:rFonts w:ascii="Comic Sans MS" w:hAnsi="Comic Sans MS"/>
          <w:sz w:val="28"/>
          <w:szCs w:val="28"/>
        </w:rPr>
        <w:t>generalized</w:t>
      </w:r>
      <w:r>
        <w:rPr>
          <w:rFonts w:ascii="Comic Sans MS" w:hAnsi="Comic Sans MS"/>
          <w:sz w:val="28"/>
          <w:szCs w:val="28"/>
        </w:rPr>
        <w:t xml:space="preserve"> and </w:t>
      </w:r>
      <w:r w:rsidRPr="00437253">
        <w:rPr>
          <w:rFonts w:ascii="Comic Sans MS" w:hAnsi="Comic Sans MS"/>
          <w:sz w:val="28"/>
          <w:szCs w:val="28"/>
        </w:rPr>
        <w:t>non-reciprocal.</w:t>
      </w:r>
      <w:r>
        <w:rPr>
          <w:rStyle w:val="FootnoteReference"/>
          <w:rFonts w:ascii="Comic Sans MS" w:hAnsi="Comic Sans MS"/>
          <w:sz w:val="28"/>
          <w:szCs w:val="28"/>
        </w:rPr>
        <w:footnoteReference w:id="42"/>
      </w:r>
      <w:r>
        <w:rPr>
          <w:rFonts w:ascii="Comic Sans MS" w:hAnsi="Comic Sans MS"/>
          <w:sz w:val="28"/>
          <w:szCs w:val="28"/>
        </w:rPr>
        <w:t xml:space="preserve"> </w:t>
      </w:r>
    </w:p>
    <w:p w:rsidR="002B60B7" w:rsidRDefault="002B60B7" w:rsidP="00FC1ED7">
      <w:pPr>
        <w:jc w:val="both"/>
        <w:rPr>
          <w:rFonts w:ascii="Comic Sans MS" w:hAnsi="Comic Sans MS"/>
          <w:sz w:val="28"/>
          <w:szCs w:val="28"/>
        </w:rPr>
      </w:pPr>
    </w:p>
    <w:p w:rsidR="002B60B7" w:rsidRDefault="002B60B7" w:rsidP="00723A04">
      <w:pPr>
        <w:jc w:val="both"/>
        <w:rPr>
          <w:rFonts w:ascii="Comic Sans MS" w:hAnsi="Comic Sans MS"/>
          <w:sz w:val="28"/>
          <w:szCs w:val="28"/>
        </w:rPr>
      </w:pPr>
      <w:r>
        <w:rPr>
          <w:rFonts w:ascii="Comic Sans MS" w:hAnsi="Comic Sans MS"/>
          <w:sz w:val="28"/>
          <w:szCs w:val="28"/>
        </w:rPr>
        <w:t>Obviously building on this, the EC states in the preamble of the EC GSP scheme proposal</w:t>
      </w:r>
      <w:r>
        <w:rPr>
          <w:rStyle w:val="FootnoteReference"/>
          <w:rFonts w:ascii="Comic Sans MS" w:hAnsi="Comic Sans MS"/>
          <w:sz w:val="28"/>
          <w:szCs w:val="28"/>
        </w:rPr>
        <w:footnoteReference w:id="43"/>
      </w:r>
      <w:r>
        <w:rPr>
          <w:rFonts w:ascii="Comic Sans MS" w:hAnsi="Comic Sans MS"/>
          <w:sz w:val="28"/>
          <w:szCs w:val="28"/>
        </w:rPr>
        <w:t xml:space="preserve"> that, “t</w:t>
      </w:r>
      <w:r w:rsidRPr="008C53BF">
        <w:rPr>
          <w:rFonts w:ascii="Comic Sans MS" w:hAnsi="Comic Sans MS"/>
          <w:sz w:val="28"/>
          <w:szCs w:val="28"/>
        </w:rPr>
        <w:t xml:space="preserve">he general arrangement should be granted to all those developing countries which share a common developing need and are in a similar stage of economic development.” </w:t>
      </w:r>
      <w:r w:rsidRPr="00E9078F">
        <w:rPr>
          <w:rFonts w:ascii="Comic Sans MS" w:hAnsi="Comic Sans MS"/>
          <w:sz w:val="28"/>
          <w:szCs w:val="28"/>
        </w:rPr>
        <w:t>It must be noted, however, that the Appel</w:t>
      </w:r>
      <w:r>
        <w:rPr>
          <w:rFonts w:ascii="Comic Sans MS" w:hAnsi="Comic Sans MS"/>
          <w:sz w:val="28"/>
          <w:szCs w:val="28"/>
        </w:rPr>
        <w:t>l</w:t>
      </w:r>
      <w:r w:rsidRPr="00E9078F">
        <w:rPr>
          <w:rFonts w:ascii="Comic Sans MS" w:hAnsi="Comic Sans MS"/>
          <w:sz w:val="28"/>
          <w:szCs w:val="28"/>
        </w:rPr>
        <w:t xml:space="preserve">ate Body </w:t>
      </w:r>
      <w:r>
        <w:rPr>
          <w:rFonts w:ascii="Comic Sans MS" w:hAnsi="Comic Sans MS"/>
          <w:sz w:val="28"/>
          <w:szCs w:val="28"/>
        </w:rPr>
        <w:t xml:space="preserve">also said </w:t>
      </w:r>
      <w:r w:rsidRPr="00E9078F">
        <w:rPr>
          <w:rFonts w:ascii="Comic Sans MS" w:hAnsi="Comic Sans MS"/>
          <w:sz w:val="28"/>
          <w:szCs w:val="28"/>
        </w:rPr>
        <w:t xml:space="preserve">that the Enabling Clause does not authorize </w:t>
      </w:r>
      <w:r w:rsidRPr="00E9078F">
        <w:rPr>
          <w:rFonts w:ascii="Comic Sans MS" w:hAnsi="Comic Sans MS"/>
          <w:i/>
          <w:iCs/>
          <w:sz w:val="28"/>
          <w:szCs w:val="28"/>
        </w:rPr>
        <w:t>any</w:t>
      </w:r>
      <w:r w:rsidRPr="00E9078F">
        <w:rPr>
          <w:rFonts w:ascii="Comic Sans MS" w:hAnsi="Comic Sans MS"/>
          <w:sz w:val="28"/>
          <w:szCs w:val="28"/>
        </w:rPr>
        <w:t xml:space="preserve"> kind of response to</w:t>
      </w:r>
      <w:r>
        <w:rPr>
          <w:rFonts w:ascii="Comic Sans MS" w:hAnsi="Comic Sans MS"/>
          <w:sz w:val="28"/>
          <w:szCs w:val="28"/>
        </w:rPr>
        <w:t xml:space="preserve"> </w:t>
      </w:r>
      <w:r w:rsidRPr="00E9078F">
        <w:rPr>
          <w:rFonts w:ascii="Comic Sans MS" w:hAnsi="Comic Sans MS"/>
          <w:i/>
          <w:iCs/>
          <w:sz w:val="28"/>
          <w:szCs w:val="28"/>
        </w:rPr>
        <w:t>any </w:t>
      </w:r>
      <w:r w:rsidRPr="00E9078F">
        <w:rPr>
          <w:rFonts w:ascii="Comic Sans MS" w:hAnsi="Comic Sans MS"/>
          <w:sz w:val="28"/>
          <w:szCs w:val="28"/>
        </w:rPr>
        <w:t>claimed need of developing countries, and observed that the types of needs to which a response is envisaged are limited to development, financial and trade needs.  A ‘need’ cannot be characterized as one of the specified needs of developing countries based merely on an assertion to that effect by, for instance, a preference-granting country or a beneficiary country.  Rather, the existence of a development, financial or trade need must be assessed according to an </w:t>
      </w:r>
      <w:r w:rsidRPr="00E9078F">
        <w:rPr>
          <w:rFonts w:ascii="Comic Sans MS" w:hAnsi="Comic Sans MS"/>
          <w:i/>
          <w:iCs/>
          <w:sz w:val="28"/>
          <w:szCs w:val="28"/>
        </w:rPr>
        <w:t>objective</w:t>
      </w:r>
      <w:r w:rsidRPr="00E9078F">
        <w:rPr>
          <w:rFonts w:ascii="Comic Sans MS" w:hAnsi="Comic Sans MS"/>
          <w:sz w:val="28"/>
          <w:szCs w:val="28"/>
        </w:rPr>
        <w:t xml:space="preserve"> standard.</w:t>
      </w:r>
      <w:r w:rsidRPr="00FD55B8">
        <w:rPr>
          <w:rStyle w:val="FootnoteReference"/>
          <w:rFonts w:ascii="Comic Sans MS" w:hAnsi="Comic Sans MS"/>
          <w:sz w:val="28"/>
          <w:szCs w:val="28"/>
        </w:rPr>
        <w:footnoteReference w:id="44"/>
      </w:r>
      <w:r>
        <w:rPr>
          <w:rFonts w:ascii="Comic Sans MS" w:hAnsi="Comic Sans MS"/>
          <w:sz w:val="28"/>
          <w:szCs w:val="28"/>
        </w:rPr>
        <w:t xml:space="preserve"> The EC claim that t</w:t>
      </w:r>
      <w:r w:rsidRPr="003F15E9">
        <w:rPr>
          <w:rFonts w:ascii="Comic Sans MS" w:hAnsi="Comic Sans MS"/>
          <w:sz w:val="28"/>
          <w:szCs w:val="28"/>
        </w:rPr>
        <w:t>hanks to increased trade, many developing countries and export sectors have successfully</w:t>
      </w:r>
      <w:r>
        <w:rPr>
          <w:rFonts w:ascii="Comic Sans MS" w:hAnsi="Comic Sans MS"/>
          <w:sz w:val="28"/>
          <w:szCs w:val="28"/>
        </w:rPr>
        <w:t xml:space="preserve"> </w:t>
      </w:r>
      <w:r w:rsidRPr="003F15E9">
        <w:rPr>
          <w:rFonts w:ascii="Comic Sans MS" w:hAnsi="Comic Sans MS"/>
          <w:sz w:val="28"/>
          <w:szCs w:val="28"/>
        </w:rPr>
        <w:t>integrated within the global market</w:t>
      </w:r>
      <w:r>
        <w:rPr>
          <w:rFonts w:ascii="Comic Sans MS" w:hAnsi="Comic Sans MS"/>
          <w:sz w:val="28"/>
          <w:szCs w:val="28"/>
        </w:rPr>
        <w:t>-</w:t>
      </w:r>
      <w:r w:rsidRPr="003F15E9">
        <w:rPr>
          <w:rFonts w:ascii="Comic Sans MS" w:hAnsi="Comic Sans MS"/>
          <w:sz w:val="28"/>
          <w:szCs w:val="28"/>
        </w:rPr>
        <w:t>place</w:t>
      </w:r>
      <w:r>
        <w:rPr>
          <w:rFonts w:ascii="Comic Sans MS" w:hAnsi="Comic Sans MS"/>
          <w:sz w:val="28"/>
          <w:szCs w:val="28"/>
        </w:rPr>
        <w:t>,</w:t>
      </w:r>
      <w:r>
        <w:rPr>
          <w:rStyle w:val="FootnoteReference"/>
          <w:rFonts w:ascii="Comic Sans MS" w:hAnsi="Comic Sans MS"/>
          <w:sz w:val="28"/>
          <w:szCs w:val="28"/>
        </w:rPr>
        <w:footnoteReference w:id="45"/>
      </w:r>
      <w:r w:rsidRPr="006C0EB4">
        <w:rPr>
          <w:rFonts w:ascii="Comic Sans MS" w:hAnsi="Comic Sans MS"/>
          <w:sz w:val="28"/>
          <w:szCs w:val="28"/>
        </w:rPr>
        <w:t xml:space="preserve"> </w:t>
      </w:r>
      <w:r>
        <w:rPr>
          <w:rFonts w:ascii="Comic Sans MS" w:hAnsi="Comic Sans MS"/>
          <w:sz w:val="28"/>
          <w:szCs w:val="28"/>
        </w:rPr>
        <w:t xml:space="preserve">and that in such </w:t>
      </w:r>
      <w:r>
        <w:rPr>
          <w:rFonts w:ascii="Comic Sans MS" w:hAnsi="Comic Sans MS"/>
          <w:sz w:val="28"/>
          <w:szCs w:val="28"/>
        </w:rPr>
        <w:lastRenderedPageBreak/>
        <w:t>cases, the</w:t>
      </w:r>
      <w:r w:rsidRPr="003F15E9">
        <w:rPr>
          <w:rFonts w:ascii="Comic Sans MS" w:hAnsi="Comic Sans MS"/>
          <w:sz w:val="28"/>
          <w:szCs w:val="28"/>
        </w:rPr>
        <w:t xml:space="preserve"> </w:t>
      </w:r>
      <w:r>
        <w:rPr>
          <w:rFonts w:ascii="Comic Sans MS" w:hAnsi="Comic Sans MS"/>
          <w:sz w:val="28"/>
          <w:szCs w:val="28"/>
        </w:rPr>
        <w:t xml:space="preserve">developing countries </w:t>
      </w:r>
      <w:r w:rsidRPr="003F15E9">
        <w:rPr>
          <w:rFonts w:ascii="Comic Sans MS" w:hAnsi="Comic Sans MS"/>
          <w:sz w:val="28"/>
          <w:szCs w:val="28"/>
        </w:rPr>
        <w:t>are able to continue to expand</w:t>
      </w:r>
      <w:r>
        <w:rPr>
          <w:rFonts w:ascii="Comic Sans MS" w:hAnsi="Comic Sans MS"/>
          <w:sz w:val="28"/>
          <w:szCs w:val="28"/>
        </w:rPr>
        <w:t xml:space="preserve"> </w:t>
      </w:r>
      <w:r w:rsidRPr="003F15E9">
        <w:rPr>
          <w:rFonts w:ascii="Comic Sans MS" w:hAnsi="Comic Sans MS"/>
          <w:sz w:val="28"/>
          <w:szCs w:val="28"/>
        </w:rPr>
        <w:t>unaided</w:t>
      </w:r>
      <w:r>
        <w:rPr>
          <w:rFonts w:ascii="Comic Sans MS" w:hAnsi="Comic Sans MS"/>
          <w:sz w:val="28"/>
          <w:szCs w:val="28"/>
        </w:rPr>
        <w:t>,</w:t>
      </w:r>
      <w:r>
        <w:rPr>
          <w:rStyle w:val="FootnoteReference"/>
          <w:rFonts w:ascii="Comic Sans MS" w:hAnsi="Comic Sans MS"/>
          <w:sz w:val="28"/>
          <w:szCs w:val="28"/>
        </w:rPr>
        <w:footnoteReference w:id="46"/>
      </w:r>
      <w:r>
        <w:rPr>
          <w:rFonts w:ascii="Comic Sans MS" w:hAnsi="Comic Sans MS"/>
          <w:sz w:val="28"/>
          <w:szCs w:val="28"/>
        </w:rPr>
        <w:t xml:space="preserve"> can hardly be considered as objective.</w:t>
      </w:r>
    </w:p>
    <w:p w:rsidR="002B60B7" w:rsidRDefault="002B60B7" w:rsidP="00723A04">
      <w:pPr>
        <w:jc w:val="both"/>
        <w:rPr>
          <w:rFonts w:ascii="Comic Sans MS" w:hAnsi="Comic Sans MS"/>
          <w:sz w:val="28"/>
          <w:szCs w:val="28"/>
        </w:rPr>
      </w:pPr>
    </w:p>
    <w:p w:rsidR="002B60B7" w:rsidRPr="00723A04" w:rsidRDefault="002B60B7" w:rsidP="007724B9">
      <w:pPr>
        <w:jc w:val="both"/>
        <w:rPr>
          <w:rFonts w:ascii="Comic Sans MS" w:hAnsi="Comic Sans MS"/>
          <w:sz w:val="28"/>
          <w:szCs w:val="28"/>
        </w:rPr>
      </w:pPr>
      <w:r>
        <w:rPr>
          <w:rFonts w:ascii="Comic Sans MS" w:hAnsi="Comic Sans MS"/>
          <w:sz w:val="28"/>
          <w:szCs w:val="28"/>
        </w:rPr>
        <w:t xml:space="preserve">One could imagine that the EC is relying on the World Bank </w:t>
      </w:r>
      <w:r w:rsidRPr="00723A04">
        <w:rPr>
          <w:rFonts w:ascii="Comic Sans MS" w:hAnsi="Comic Sans MS"/>
          <w:sz w:val="28"/>
          <w:szCs w:val="28"/>
        </w:rPr>
        <w:t xml:space="preserve">per capita gross national income (GNI) </w:t>
      </w:r>
      <w:r>
        <w:rPr>
          <w:rFonts w:ascii="Comic Sans MS" w:hAnsi="Comic Sans MS"/>
          <w:sz w:val="28"/>
          <w:szCs w:val="28"/>
        </w:rPr>
        <w:t xml:space="preserve">figures, a </w:t>
      </w:r>
      <w:r w:rsidRPr="00723A04">
        <w:rPr>
          <w:rFonts w:ascii="Comic Sans MS" w:hAnsi="Comic Sans MS"/>
          <w:sz w:val="28"/>
          <w:szCs w:val="28"/>
        </w:rPr>
        <w:t xml:space="preserve">measure </w:t>
      </w:r>
      <w:r>
        <w:rPr>
          <w:rFonts w:ascii="Comic Sans MS" w:hAnsi="Comic Sans MS"/>
          <w:sz w:val="28"/>
          <w:szCs w:val="28"/>
        </w:rPr>
        <w:t xml:space="preserve">that has </w:t>
      </w:r>
      <w:r w:rsidRPr="00723A04">
        <w:rPr>
          <w:rFonts w:ascii="Comic Sans MS" w:hAnsi="Comic Sans MS"/>
          <w:sz w:val="28"/>
          <w:szCs w:val="28"/>
        </w:rPr>
        <w:t>generally serve</w:t>
      </w:r>
      <w:r>
        <w:rPr>
          <w:rFonts w:ascii="Comic Sans MS" w:hAnsi="Comic Sans MS"/>
          <w:sz w:val="28"/>
          <w:szCs w:val="28"/>
        </w:rPr>
        <w:t>d</w:t>
      </w:r>
      <w:r w:rsidRPr="00723A04">
        <w:rPr>
          <w:rFonts w:ascii="Comic Sans MS" w:hAnsi="Comic Sans MS"/>
          <w:sz w:val="28"/>
          <w:szCs w:val="28"/>
        </w:rPr>
        <w:t xml:space="preserve"> as the official bottom-line for evaluating developmental success and is used to classify countries as low-</w:t>
      </w:r>
      <w:r>
        <w:rPr>
          <w:rFonts w:ascii="Comic Sans MS" w:hAnsi="Comic Sans MS"/>
          <w:sz w:val="28"/>
          <w:szCs w:val="28"/>
        </w:rPr>
        <w:t>,</w:t>
      </w:r>
      <w:r w:rsidRPr="00723A04">
        <w:rPr>
          <w:rFonts w:ascii="Comic Sans MS" w:hAnsi="Comic Sans MS"/>
          <w:sz w:val="28"/>
          <w:szCs w:val="28"/>
        </w:rPr>
        <w:t xml:space="preserve"> middle- or high-income</w:t>
      </w:r>
      <w:r>
        <w:rPr>
          <w:rFonts w:ascii="Comic Sans MS" w:hAnsi="Comic Sans MS"/>
          <w:sz w:val="28"/>
          <w:szCs w:val="28"/>
        </w:rPr>
        <w:t>.</w:t>
      </w:r>
      <w:r w:rsidRPr="00723A04">
        <w:rPr>
          <w:rFonts w:ascii="Comic Sans MS" w:hAnsi="Comic Sans MS"/>
          <w:sz w:val="28"/>
          <w:szCs w:val="28"/>
        </w:rPr>
        <w:t xml:space="preserve"> </w:t>
      </w:r>
      <w:r>
        <w:rPr>
          <w:rFonts w:ascii="Comic Sans MS" w:hAnsi="Comic Sans MS"/>
          <w:sz w:val="28"/>
          <w:szCs w:val="28"/>
        </w:rPr>
        <w:t>But t</w:t>
      </w:r>
      <w:r w:rsidRPr="00723A04">
        <w:rPr>
          <w:rFonts w:ascii="Comic Sans MS" w:hAnsi="Comic Sans MS"/>
          <w:sz w:val="28"/>
          <w:szCs w:val="28"/>
        </w:rPr>
        <w:t>he GNI’s reliability is often questioned because of measurement challenges</w:t>
      </w:r>
      <w:r>
        <w:rPr>
          <w:rFonts w:ascii="Comic Sans MS" w:hAnsi="Comic Sans MS"/>
          <w:sz w:val="28"/>
          <w:szCs w:val="28"/>
        </w:rPr>
        <w:t xml:space="preserve">, and the fact that </w:t>
      </w:r>
      <w:r w:rsidRPr="00723A04">
        <w:rPr>
          <w:rFonts w:ascii="Comic Sans MS" w:hAnsi="Comic Sans MS"/>
          <w:sz w:val="28"/>
          <w:szCs w:val="28"/>
        </w:rPr>
        <w:t>it ignores critical elements of national economic fortune.</w:t>
      </w:r>
      <w:r>
        <w:rPr>
          <w:rStyle w:val="FootnoteReference"/>
          <w:rFonts w:ascii="Comic Sans MS" w:hAnsi="Comic Sans MS"/>
          <w:sz w:val="28"/>
          <w:szCs w:val="28"/>
        </w:rPr>
        <w:footnoteReference w:id="47"/>
      </w:r>
      <w:r>
        <w:rPr>
          <w:rFonts w:ascii="Comic Sans MS" w:hAnsi="Comic Sans MS"/>
          <w:sz w:val="28"/>
          <w:szCs w:val="28"/>
        </w:rPr>
        <w:t xml:space="preserve"> </w:t>
      </w:r>
      <w:r w:rsidRPr="00723A04">
        <w:rPr>
          <w:rFonts w:ascii="Comic Sans MS" w:hAnsi="Comic Sans MS"/>
          <w:sz w:val="28"/>
          <w:szCs w:val="28"/>
        </w:rPr>
        <w:t>However, a rising per capita national income may not necessarily benefit all citizens if growth is inequitable. The GNI reveals nothing about inequality and poverty</w:t>
      </w:r>
      <w:r>
        <w:rPr>
          <w:rFonts w:ascii="Comic Sans MS" w:hAnsi="Comic Sans MS"/>
          <w:sz w:val="28"/>
          <w:szCs w:val="28"/>
        </w:rPr>
        <w:t>,</w:t>
      </w:r>
      <w:r>
        <w:rPr>
          <w:rStyle w:val="FootnoteReference"/>
          <w:rFonts w:ascii="Comic Sans MS" w:hAnsi="Comic Sans MS"/>
          <w:sz w:val="28"/>
          <w:szCs w:val="28"/>
        </w:rPr>
        <w:footnoteReference w:id="48"/>
      </w:r>
      <w:r>
        <w:rPr>
          <w:rFonts w:ascii="Comic Sans MS" w:hAnsi="Comic Sans MS"/>
          <w:sz w:val="28"/>
          <w:szCs w:val="28"/>
        </w:rPr>
        <w:t xml:space="preserve"> the very elements that the EC GSP scheme purports to want to deal with</w:t>
      </w:r>
      <w:r w:rsidRPr="00723A04">
        <w:rPr>
          <w:rFonts w:ascii="Comic Sans MS" w:hAnsi="Comic Sans MS"/>
          <w:sz w:val="28"/>
          <w:szCs w:val="28"/>
        </w:rPr>
        <w:t>.</w:t>
      </w:r>
      <w:r>
        <w:rPr>
          <w:rStyle w:val="FootnoteReference"/>
          <w:rFonts w:ascii="Comic Sans MS" w:hAnsi="Comic Sans MS"/>
          <w:sz w:val="28"/>
          <w:szCs w:val="28"/>
        </w:rPr>
        <w:footnoteReference w:id="49"/>
      </w:r>
      <w:r>
        <w:rPr>
          <w:rFonts w:ascii="Comic Sans MS" w:hAnsi="Comic Sans MS"/>
          <w:sz w:val="28"/>
          <w:szCs w:val="28"/>
        </w:rPr>
        <w:t xml:space="preserve"> </w:t>
      </w:r>
      <w:r w:rsidRPr="00723A04">
        <w:rPr>
          <w:rFonts w:ascii="Comic Sans MS" w:hAnsi="Comic Sans MS"/>
          <w:sz w:val="28"/>
          <w:szCs w:val="28"/>
        </w:rPr>
        <w:t>The GNI</w:t>
      </w:r>
      <w:r>
        <w:rPr>
          <w:rFonts w:ascii="Comic Sans MS" w:hAnsi="Comic Sans MS"/>
          <w:sz w:val="28"/>
          <w:szCs w:val="28"/>
        </w:rPr>
        <w:t>, it has been pointed out,</w:t>
      </w:r>
      <w:r>
        <w:rPr>
          <w:rStyle w:val="FootnoteReference"/>
          <w:rFonts w:ascii="Comic Sans MS" w:hAnsi="Comic Sans MS"/>
          <w:sz w:val="28"/>
          <w:szCs w:val="28"/>
        </w:rPr>
        <w:footnoteReference w:id="50"/>
      </w:r>
      <w:r w:rsidRPr="00723A04">
        <w:rPr>
          <w:rFonts w:ascii="Comic Sans MS" w:hAnsi="Comic Sans MS"/>
          <w:sz w:val="28"/>
          <w:szCs w:val="28"/>
        </w:rPr>
        <w:t xml:space="preserve"> also fails to reflect critical ‘input’ dimensions: capability and vulnerability. </w:t>
      </w:r>
      <w:r>
        <w:rPr>
          <w:rFonts w:ascii="Comic Sans MS" w:hAnsi="Comic Sans MS"/>
          <w:sz w:val="28"/>
          <w:szCs w:val="28"/>
        </w:rPr>
        <w:t>Not only does i</w:t>
      </w:r>
      <w:r w:rsidRPr="00723A04">
        <w:rPr>
          <w:rFonts w:ascii="Comic Sans MS" w:hAnsi="Comic Sans MS"/>
          <w:sz w:val="28"/>
          <w:szCs w:val="28"/>
        </w:rPr>
        <w:t>t fail to reflect the nature of the inputs driving GNI growth</w:t>
      </w:r>
      <w:r>
        <w:rPr>
          <w:rFonts w:ascii="Comic Sans MS" w:hAnsi="Comic Sans MS"/>
          <w:sz w:val="28"/>
          <w:szCs w:val="28"/>
        </w:rPr>
        <w:t xml:space="preserve">, but it also fails to give an </w:t>
      </w:r>
      <w:r w:rsidRPr="00723A04">
        <w:rPr>
          <w:rFonts w:ascii="Comic Sans MS" w:hAnsi="Comic Sans MS"/>
          <w:sz w:val="28"/>
          <w:szCs w:val="28"/>
        </w:rPr>
        <w:t>indication of whether states are diligently minding critical gaps, especially on the external trade balance and the internal governmental fiscal balance, which can trigger economic crises.</w:t>
      </w:r>
      <w:r>
        <w:rPr>
          <w:rStyle w:val="FootnoteReference"/>
          <w:rFonts w:ascii="Comic Sans MS" w:hAnsi="Comic Sans MS"/>
          <w:sz w:val="28"/>
          <w:szCs w:val="28"/>
        </w:rPr>
        <w:footnoteReference w:id="51"/>
      </w:r>
      <w:r w:rsidRPr="00723A04">
        <w:rPr>
          <w:rFonts w:ascii="Comic Sans MS" w:hAnsi="Comic Sans MS"/>
          <w:sz w:val="28"/>
          <w:szCs w:val="28"/>
        </w:rPr>
        <w:t xml:space="preserve"> </w:t>
      </w:r>
    </w:p>
    <w:p w:rsidR="002B60B7" w:rsidRDefault="002B60B7" w:rsidP="00EE6385">
      <w:pPr>
        <w:pStyle w:val="BodyText"/>
        <w:numPr>
          <w:ilvl w:val="0"/>
          <w:numId w:val="0"/>
        </w:numPr>
        <w:rPr>
          <w:rFonts w:ascii="Comic Sans MS" w:hAnsi="Comic Sans MS"/>
          <w:sz w:val="28"/>
          <w:szCs w:val="28"/>
        </w:rPr>
      </w:pPr>
    </w:p>
    <w:p w:rsidR="002B60B7" w:rsidRDefault="002B60B7" w:rsidP="00EE6385">
      <w:pPr>
        <w:pStyle w:val="BodyText"/>
        <w:numPr>
          <w:ilvl w:val="0"/>
          <w:numId w:val="0"/>
        </w:numPr>
        <w:rPr>
          <w:rFonts w:ascii="Comic Sans MS" w:hAnsi="Comic Sans MS"/>
          <w:sz w:val="28"/>
          <w:szCs w:val="28"/>
        </w:rPr>
      </w:pPr>
      <w:r>
        <w:rPr>
          <w:rFonts w:ascii="Comic Sans MS" w:hAnsi="Comic Sans MS"/>
          <w:sz w:val="28"/>
          <w:szCs w:val="28"/>
        </w:rPr>
        <w:t>As the Appellate Body pointed out, a</w:t>
      </w:r>
      <w:r w:rsidRPr="00E9078F">
        <w:rPr>
          <w:rFonts w:ascii="Comic Sans MS" w:hAnsi="Comic Sans MS"/>
          <w:sz w:val="28"/>
          <w:szCs w:val="28"/>
        </w:rPr>
        <w:t xml:space="preserve"> ‘</w:t>
      </w:r>
      <w:r>
        <w:rPr>
          <w:rFonts w:ascii="Comic Sans MS" w:hAnsi="Comic Sans MS"/>
          <w:sz w:val="28"/>
          <w:szCs w:val="28"/>
        </w:rPr>
        <w:t>n</w:t>
      </w:r>
      <w:r w:rsidRPr="00E9078F">
        <w:rPr>
          <w:rFonts w:ascii="Comic Sans MS" w:hAnsi="Comic Sans MS"/>
          <w:sz w:val="28"/>
          <w:szCs w:val="28"/>
        </w:rPr>
        <w:t>eed’</w:t>
      </w:r>
      <w:r>
        <w:rPr>
          <w:rFonts w:ascii="Comic Sans MS" w:hAnsi="Comic Sans MS"/>
          <w:sz w:val="28"/>
          <w:szCs w:val="28"/>
        </w:rPr>
        <w:t xml:space="preserve"> and by inference, a ‘lack of need’,</w:t>
      </w:r>
      <w:r w:rsidRPr="00E9078F">
        <w:rPr>
          <w:rFonts w:ascii="Comic Sans MS" w:hAnsi="Comic Sans MS"/>
          <w:sz w:val="28"/>
          <w:szCs w:val="28"/>
        </w:rPr>
        <w:t xml:space="preserve"> cannot be characterized as one of the specified needs</w:t>
      </w:r>
      <w:r>
        <w:rPr>
          <w:rFonts w:ascii="Comic Sans MS" w:hAnsi="Comic Sans MS"/>
          <w:sz w:val="28"/>
          <w:szCs w:val="28"/>
        </w:rPr>
        <w:t>,</w:t>
      </w:r>
      <w:r w:rsidRPr="00E9078F">
        <w:rPr>
          <w:rFonts w:ascii="Comic Sans MS" w:hAnsi="Comic Sans MS"/>
          <w:sz w:val="28"/>
          <w:szCs w:val="28"/>
        </w:rPr>
        <w:t xml:space="preserve"> </w:t>
      </w:r>
      <w:r>
        <w:rPr>
          <w:rFonts w:ascii="Comic Sans MS" w:hAnsi="Comic Sans MS"/>
          <w:sz w:val="28"/>
          <w:szCs w:val="28"/>
        </w:rPr>
        <w:t xml:space="preserve">or lack of need, </w:t>
      </w:r>
      <w:r w:rsidRPr="00E9078F">
        <w:rPr>
          <w:rFonts w:ascii="Comic Sans MS" w:hAnsi="Comic Sans MS"/>
          <w:sz w:val="28"/>
          <w:szCs w:val="28"/>
        </w:rPr>
        <w:t>of developing countries based merely on an assertion t</w:t>
      </w:r>
      <w:r>
        <w:rPr>
          <w:rFonts w:ascii="Comic Sans MS" w:hAnsi="Comic Sans MS"/>
          <w:sz w:val="28"/>
          <w:szCs w:val="28"/>
        </w:rPr>
        <w:t xml:space="preserve">o that effect by </w:t>
      </w:r>
      <w:r w:rsidRPr="00E9078F">
        <w:rPr>
          <w:rFonts w:ascii="Comic Sans MS" w:hAnsi="Comic Sans MS"/>
          <w:sz w:val="28"/>
          <w:szCs w:val="28"/>
        </w:rPr>
        <w:t>a preference-granting c</w:t>
      </w:r>
      <w:r>
        <w:rPr>
          <w:rFonts w:ascii="Comic Sans MS" w:hAnsi="Comic Sans MS"/>
          <w:sz w:val="28"/>
          <w:szCs w:val="28"/>
        </w:rPr>
        <w:t>ountry or a beneficiary country as the EC seems to do here. Although t</w:t>
      </w:r>
      <w:r w:rsidRPr="00FD55B8">
        <w:rPr>
          <w:rFonts w:ascii="Comic Sans MS" w:hAnsi="Comic Sans MS"/>
          <w:sz w:val="28"/>
          <w:szCs w:val="28"/>
        </w:rPr>
        <w:t xml:space="preserve">here </w:t>
      </w:r>
      <w:r w:rsidRPr="00FD55B8">
        <w:rPr>
          <w:rFonts w:ascii="Comic Sans MS" w:hAnsi="Comic Sans MS"/>
          <w:sz w:val="28"/>
          <w:szCs w:val="28"/>
        </w:rPr>
        <w:lastRenderedPageBreak/>
        <w:t>has never been any collective guidance by GATT Contracting</w:t>
      </w:r>
      <w:r>
        <w:rPr>
          <w:rFonts w:ascii="Comic Sans MS" w:hAnsi="Comic Sans MS"/>
          <w:sz w:val="28"/>
          <w:szCs w:val="28"/>
        </w:rPr>
        <w:t xml:space="preserve"> P</w:t>
      </w:r>
      <w:r w:rsidRPr="00FD55B8">
        <w:rPr>
          <w:rFonts w:ascii="Comic Sans MS" w:hAnsi="Comic Sans MS"/>
          <w:sz w:val="28"/>
          <w:szCs w:val="28"/>
        </w:rPr>
        <w:t xml:space="preserve">arties or the membership of the WTO </w:t>
      </w:r>
      <w:r>
        <w:rPr>
          <w:rFonts w:ascii="Comic Sans MS" w:hAnsi="Comic Sans MS"/>
          <w:sz w:val="28"/>
          <w:szCs w:val="28"/>
        </w:rPr>
        <w:t>on this a</w:t>
      </w:r>
      <w:r w:rsidRPr="00FD55B8">
        <w:rPr>
          <w:rFonts w:ascii="Comic Sans MS" w:hAnsi="Comic Sans MS"/>
          <w:sz w:val="28"/>
          <w:szCs w:val="28"/>
        </w:rPr>
        <w:t>spect</w:t>
      </w:r>
      <w:r>
        <w:rPr>
          <w:rFonts w:ascii="Comic Sans MS" w:hAnsi="Comic Sans MS"/>
          <w:sz w:val="28"/>
          <w:szCs w:val="28"/>
        </w:rPr>
        <w:t>,</w:t>
      </w:r>
      <w:r w:rsidRPr="00FD55B8">
        <w:rPr>
          <w:rStyle w:val="FootnoteReference"/>
          <w:rFonts w:ascii="Comic Sans MS" w:hAnsi="Comic Sans MS"/>
          <w:sz w:val="28"/>
          <w:szCs w:val="28"/>
        </w:rPr>
        <w:footnoteReference w:id="52"/>
      </w:r>
      <w:r w:rsidRPr="00FD55B8">
        <w:rPr>
          <w:rFonts w:ascii="Comic Sans MS" w:hAnsi="Comic Sans MS"/>
          <w:sz w:val="28"/>
          <w:szCs w:val="28"/>
        </w:rPr>
        <w:t xml:space="preserve"> </w:t>
      </w:r>
      <w:r>
        <w:rPr>
          <w:rFonts w:ascii="Comic Sans MS" w:hAnsi="Comic Sans MS"/>
          <w:sz w:val="28"/>
          <w:szCs w:val="28"/>
        </w:rPr>
        <w:t>t</w:t>
      </w:r>
      <w:r w:rsidRPr="00D0260E">
        <w:rPr>
          <w:rFonts w:ascii="Comic Sans MS" w:hAnsi="Comic Sans MS"/>
          <w:sz w:val="28"/>
          <w:szCs w:val="28"/>
        </w:rPr>
        <w:t>he Appel</w:t>
      </w:r>
      <w:r>
        <w:rPr>
          <w:rFonts w:ascii="Comic Sans MS" w:hAnsi="Comic Sans MS"/>
          <w:sz w:val="28"/>
          <w:szCs w:val="28"/>
        </w:rPr>
        <w:t>l</w:t>
      </w:r>
      <w:r w:rsidRPr="00D0260E">
        <w:rPr>
          <w:rFonts w:ascii="Comic Sans MS" w:hAnsi="Comic Sans MS"/>
          <w:sz w:val="28"/>
          <w:szCs w:val="28"/>
        </w:rPr>
        <w:t>ate Body has made it clear that a basis for establishing whether or not a developing country qualifies for preferences under a scheme is necessary beyond a mere claim that the arrangement</w:t>
      </w:r>
      <w:r>
        <w:rPr>
          <w:rFonts w:ascii="Comic Sans MS" w:hAnsi="Comic Sans MS"/>
          <w:sz w:val="28"/>
          <w:szCs w:val="28"/>
        </w:rPr>
        <w:t>s</w:t>
      </w:r>
      <w:r w:rsidRPr="00D0260E">
        <w:rPr>
          <w:rFonts w:ascii="Comic Sans MS" w:hAnsi="Comic Sans MS"/>
          <w:sz w:val="28"/>
          <w:szCs w:val="28"/>
        </w:rPr>
        <w:t xml:space="preserve"> are available to all developing countries that are similarly situated.</w:t>
      </w:r>
    </w:p>
    <w:p w:rsidR="002B60B7" w:rsidRPr="007724B9" w:rsidRDefault="002B60B7" w:rsidP="007724B9">
      <w:pPr>
        <w:autoSpaceDE w:val="0"/>
        <w:autoSpaceDN w:val="0"/>
        <w:adjustRightInd w:val="0"/>
        <w:jc w:val="both"/>
        <w:rPr>
          <w:rFonts w:ascii="Comic Sans MS" w:hAnsi="Comic Sans MS"/>
          <w:sz w:val="28"/>
          <w:szCs w:val="28"/>
        </w:rPr>
      </w:pPr>
      <w:r w:rsidRPr="007724B9">
        <w:rPr>
          <w:rFonts w:ascii="Comic Sans MS" w:hAnsi="Comic Sans MS"/>
          <w:sz w:val="28"/>
          <w:szCs w:val="28"/>
        </w:rPr>
        <w:t>Before the Panel, the European Communities provided two elements as constituting objective criteria for differentiating among developing countries, indicating that (</w:t>
      </w:r>
      <w:proofErr w:type="spellStart"/>
      <w:r w:rsidRPr="007724B9">
        <w:rPr>
          <w:rFonts w:ascii="Comic Sans MS" w:hAnsi="Comic Sans MS"/>
          <w:sz w:val="28"/>
          <w:szCs w:val="28"/>
        </w:rPr>
        <w:t>i</w:t>
      </w:r>
      <w:proofErr w:type="spellEnd"/>
      <w:r w:rsidRPr="007724B9">
        <w:rPr>
          <w:rFonts w:ascii="Comic Sans MS" w:hAnsi="Comic Sans MS"/>
          <w:sz w:val="28"/>
          <w:szCs w:val="28"/>
        </w:rPr>
        <w:t xml:space="preserve">) the difference in treatment must pursue a legitimate aim; and (ii) the difference in treatment must be a reasonable means to achieve that aim.  While the aim of the EC GSP scheme proposal, the pursuit of actions in order to foster the sustainable economic, social and environmental development of developing countries with the primary aim of eradicating poverty, might be legitimate, the means to achieve that aim cannot be said to be reasonable. Worse still, the Panel refused to uphold the EC interpretation, point out that if it were to do that, the way would be open for the setting up of an unlimited number of special preferences </w:t>
      </w:r>
      <w:proofErr w:type="spellStart"/>
      <w:r w:rsidRPr="007724B9">
        <w:rPr>
          <w:rFonts w:ascii="Comic Sans MS" w:hAnsi="Comic Sans MS"/>
          <w:sz w:val="28"/>
          <w:szCs w:val="28"/>
        </w:rPr>
        <w:t>favouring</w:t>
      </w:r>
      <w:proofErr w:type="spellEnd"/>
      <w:r w:rsidRPr="007724B9">
        <w:rPr>
          <w:rFonts w:ascii="Comic Sans MS" w:hAnsi="Comic Sans MS"/>
          <w:sz w:val="28"/>
          <w:szCs w:val="28"/>
        </w:rPr>
        <w:t xml:space="preserve"> different selected developing countries.  The end result would be the collapse of the whole GSP system and a return back to special preferences </w:t>
      </w:r>
      <w:proofErr w:type="spellStart"/>
      <w:r w:rsidRPr="007724B9">
        <w:rPr>
          <w:rFonts w:ascii="Comic Sans MS" w:hAnsi="Comic Sans MS"/>
          <w:sz w:val="28"/>
          <w:szCs w:val="28"/>
        </w:rPr>
        <w:t>favouring</w:t>
      </w:r>
      <w:proofErr w:type="spellEnd"/>
      <w:r w:rsidRPr="007724B9">
        <w:rPr>
          <w:rFonts w:ascii="Comic Sans MS" w:hAnsi="Comic Sans MS"/>
          <w:sz w:val="28"/>
          <w:szCs w:val="28"/>
        </w:rPr>
        <w:t xml:space="preserve"> selected developing countries, precisely the situation that negotiators aimed to eliminate back in the late 1960s.</w:t>
      </w:r>
      <w:r w:rsidRPr="007724B9">
        <w:rPr>
          <w:rStyle w:val="FootnoteReference"/>
          <w:rFonts w:ascii="Comic Sans MS" w:hAnsi="Comic Sans MS"/>
          <w:sz w:val="28"/>
          <w:szCs w:val="28"/>
        </w:rPr>
        <w:footnoteReference w:id="53"/>
      </w:r>
    </w:p>
    <w:p w:rsidR="002B60B7" w:rsidRDefault="002B60B7" w:rsidP="00ED77AC">
      <w:pPr>
        <w:pStyle w:val="BodyText"/>
        <w:numPr>
          <w:ilvl w:val="0"/>
          <w:numId w:val="0"/>
        </w:numPr>
        <w:rPr>
          <w:rFonts w:ascii="Comic Sans MS" w:hAnsi="Comic Sans MS"/>
          <w:sz w:val="28"/>
          <w:szCs w:val="28"/>
        </w:rPr>
      </w:pPr>
    </w:p>
    <w:p w:rsidR="002B60B7" w:rsidRPr="00852CA8" w:rsidRDefault="002B60B7" w:rsidP="00ED77AC">
      <w:pPr>
        <w:pStyle w:val="BodyText"/>
        <w:numPr>
          <w:ilvl w:val="0"/>
          <w:numId w:val="0"/>
        </w:numPr>
        <w:rPr>
          <w:rFonts w:ascii="Comic Sans MS" w:hAnsi="Comic Sans MS"/>
          <w:sz w:val="28"/>
          <w:szCs w:val="28"/>
        </w:rPr>
      </w:pPr>
      <w:r w:rsidRPr="00075F12">
        <w:rPr>
          <w:rFonts w:ascii="Comic Sans MS" w:hAnsi="Comic Sans MS"/>
          <w:sz w:val="28"/>
          <w:szCs w:val="28"/>
        </w:rPr>
        <w:t>As was pointe</w:t>
      </w:r>
      <w:r>
        <w:rPr>
          <w:rFonts w:ascii="Comic Sans MS" w:hAnsi="Comic Sans MS"/>
          <w:sz w:val="28"/>
          <w:szCs w:val="28"/>
        </w:rPr>
        <w:t>d out by the Panel</w:t>
      </w:r>
      <w:r w:rsidRPr="00075F12">
        <w:rPr>
          <w:rFonts w:ascii="Comic Sans MS" w:hAnsi="Comic Sans MS"/>
          <w:sz w:val="28"/>
          <w:szCs w:val="28"/>
        </w:rPr>
        <w:t xml:space="preserve">, the levels of product coverage and depth of tariff cuts contained in the GSP offers were negotiated and mutually agreed between developed and developing </w:t>
      </w:r>
      <w:r w:rsidRPr="00075F12">
        <w:rPr>
          <w:rFonts w:ascii="Comic Sans MS" w:hAnsi="Comic Sans MS"/>
          <w:sz w:val="28"/>
          <w:szCs w:val="28"/>
        </w:rPr>
        <w:lastRenderedPageBreak/>
        <w:t xml:space="preserve">countries. </w:t>
      </w:r>
      <w:r w:rsidRPr="00852CA8">
        <w:rPr>
          <w:rFonts w:ascii="Comic Sans MS" w:hAnsi="Comic Sans MS"/>
          <w:sz w:val="28"/>
          <w:szCs w:val="28"/>
        </w:rPr>
        <w:t xml:space="preserve">There is no express mention in the Enabling Clause of any change to the details of the GSP arrangements earlier agreed in the Agreed Conclusions and incorporated into the 1971 Waiver Decision. It can be argued, therefore, that the arrangements on product coverage and depth of tariff cuts agreed upon in the Agreed Conclusions are still valid elements dealing with the design of GSP schemes under the Enabling Clause.  The practice of the CONTRACTING PARTIES after the 1971 Waiver Decision continued to reflect this common understanding, so that where a developed country wished to provide more favourable treatment to a limited number of developing countries, a waiver was sought from the GATT or the WTO.  </w:t>
      </w:r>
    </w:p>
    <w:p w:rsidR="002B60B7" w:rsidRPr="00075F12" w:rsidRDefault="002B60B7" w:rsidP="009566C1">
      <w:pPr>
        <w:pStyle w:val="BodyText"/>
        <w:numPr>
          <w:ilvl w:val="0"/>
          <w:numId w:val="0"/>
        </w:numPr>
        <w:rPr>
          <w:rFonts w:ascii="Comic Sans MS" w:hAnsi="Comic Sans MS"/>
          <w:sz w:val="28"/>
          <w:szCs w:val="28"/>
        </w:rPr>
      </w:pPr>
      <w:r w:rsidRPr="00852CA8">
        <w:rPr>
          <w:rFonts w:ascii="Comic Sans MS" w:hAnsi="Comic Sans MS"/>
          <w:sz w:val="28"/>
          <w:szCs w:val="28"/>
        </w:rPr>
        <w:t>It cannot</w:t>
      </w:r>
      <w:r>
        <w:rPr>
          <w:rFonts w:ascii="Comic Sans MS" w:hAnsi="Comic Sans MS"/>
          <w:sz w:val="28"/>
          <w:szCs w:val="28"/>
        </w:rPr>
        <w:t xml:space="preserve"> </w:t>
      </w:r>
      <w:r w:rsidRPr="00852CA8">
        <w:rPr>
          <w:rFonts w:ascii="Comic Sans MS" w:hAnsi="Comic Sans MS"/>
          <w:sz w:val="28"/>
          <w:szCs w:val="28"/>
        </w:rPr>
        <w:t xml:space="preserve">be assumed that GSP schemes providing for lesser product coverage or depth of tariff cuts would have been acceptable to the developing countries. </w:t>
      </w:r>
      <w:r>
        <w:rPr>
          <w:rFonts w:ascii="Comic Sans MS" w:hAnsi="Comic Sans MS"/>
          <w:sz w:val="28"/>
          <w:szCs w:val="28"/>
        </w:rPr>
        <w:t xml:space="preserve">In other words, although </w:t>
      </w:r>
      <w:r w:rsidRPr="00437253">
        <w:rPr>
          <w:rFonts w:ascii="Comic Sans MS" w:hAnsi="Comic Sans MS"/>
          <w:sz w:val="28"/>
          <w:szCs w:val="28"/>
        </w:rPr>
        <w:t xml:space="preserve">the Enabling Clause allows </w:t>
      </w:r>
      <w:r>
        <w:rPr>
          <w:rFonts w:ascii="Comic Sans MS" w:hAnsi="Comic Sans MS"/>
          <w:sz w:val="28"/>
          <w:szCs w:val="28"/>
        </w:rPr>
        <w:t xml:space="preserve">the possibility of </w:t>
      </w:r>
      <w:r w:rsidRPr="00437253">
        <w:rPr>
          <w:rFonts w:ascii="Comic Sans MS" w:hAnsi="Comic Sans MS"/>
          <w:sz w:val="28"/>
          <w:szCs w:val="28"/>
        </w:rPr>
        <w:t xml:space="preserve">GSP schemes providing </w:t>
      </w:r>
      <w:r w:rsidRPr="00C15D7A">
        <w:rPr>
          <w:rFonts w:ascii="Comic Sans MS" w:hAnsi="Comic Sans MS"/>
          <w:i/>
          <w:sz w:val="28"/>
          <w:szCs w:val="28"/>
        </w:rPr>
        <w:t>additional</w:t>
      </w:r>
      <w:r w:rsidRPr="00437253">
        <w:rPr>
          <w:rFonts w:ascii="Comic Sans MS" w:hAnsi="Comic Sans MS"/>
          <w:sz w:val="28"/>
          <w:szCs w:val="28"/>
        </w:rPr>
        <w:t xml:space="preserve"> preferences for developing countries with particular needs, </w:t>
      </w:r>
      <w:r>
        <w:rPr>
          <w:rFonts w:ascii="Comic Sans MS" w:hAnsi="Comic Sans MS"/>
          <w:sz w:val="28"/>
          <w:szCs w:val="28"/>
        </w:rPr>
        <w:t>i</w:t>
      </w:r>
      <w:r w:rsidRPr="00075F12">
        <w:rPr>
          <w:rFonts w:ascii="Comic Sans MS" w:hAnsi="Comic Sans MS"/>
          <w:sz w:val="28"/>
          <w:szCs w:val="28"/>
        </w:rPr>
        <w:t xml:space="preserve">t cannot be assumed that GSP schemes providing for </w:t>
      </w:r>
      <w:r w:rsidRPr="00A17D5E">
        <w:rPr>
          <w:rFonts w:ascii="Comic Sans MS" w:hAnsi="Comic Sans MS"/>
          <w:i/>
          <w:sz w:val="28"/>
          <w:szCs w:val="28"/>
        </w:rPr>
        <w:t>lesser</w:t>
      </w:r>
      <w:r w:rsidRPr="00075F12">
        <w:rPr>
          <w:rFonts w:ascii="Comic Sans MS" w:hAnsi="Comic Sans MS"/>
          <w:sz w:val="28"/>
          <w:szCs w:val="28"/>
        </w:rPr>
        <w:t xml:space="preserve"> product coverage or depth of tariff cuts would have been acceptable to developing countries</w:t>
      </w:r>
      <w:r>
        <w:rPr>
          <w:rFonts w:ascii="Comic Sans MS" w:hAnsi="Comic Sans MS"/>
          <w:sz w:val="28"/>
          <w:szCs w:val="28"/>
        </w:rPr>
        <w:t xml:space="preserve"> when GSP was agreed to in the 1960s</w:t>
      </w:r>
      <w:r w:rsidRPr="00075F12">
        <w:rPr>
          <w:rFonts w:ascii="Comic Sans MS" w:hAnsi="Comic Sans MS"/>
          <w:sz w:val="28"/>
          <w:szCs w:val="28"/>
        </w:rPr>
        <w:t xml:space="preserve">.  </w:t>
      </w:r>
      <w:r>
        <w:rPr>
          <w:rFonts w:ascii="Comic Sans MS" w:hAnsi="Comic Sans MS"/>
          <w:sz w:val="28"/>
          <w:szCs w:val="28"/>
        </w:rPr>
        <w:t>In fact, t</w:t>
      </w:r>
      <w:r w:rsidRPr="00075F12">
        <w:rPr>
          <w:rFonts w:ascii="Comic Sans MS" w:hAnsi="Comic Sans MS"/>
          <w:sz w:val="28"/>
          <w:szCs w:val="28"/>
        </w:rPr>
        <w:t>he Panel stated that in relation to future implementation of GSP schemes, it saw no basis for concluding that the level of product coverage and depth of tariff cuts in general could be less than the level and depth offered and accepted in the Agreed Conclusions.</w:t>
      </w:r>
      <w:r>
        <w:rPr>
          <w:rStyle w:val="FootnoteReference"/>
          <w:rFonts w:ascii="Comic Sans MS" w:hAnsi="Comic Sans MS"/>
          <w:sz w:val="28"/>
          <w:szCs w:val="28"/>
        </w:rPr>
        <w:footnoteReference w:id="54"/>
      </w:r>
      <w:r>
        <w:rPr>
          <w:rFonts w:ascii="Comic Sans MS" w:hAnsi="Comic Sans MS"/>
          <w:sz w:val="28"/>
          <w:szCs w:val="28"/>
        </w:rPr>
        <w:t xml:space="preserve"> It can be argued that by ‘graduating’ some countries out of the GSP scheme, the EC is in actual fact providing lesser product coverage than the developing countries would have considered acceptable when the GSP schemes were negotiated and agreed to in the 1960s.</w:t>
      </w:r>
      <w:r w:rsidRPr="00ED77AC">
        <w:t xml:space="preserve"> </w:t>
      </w:r>
      <w:r>
        <w:rPr>
          <w:rFonts w:ascii="Comic Sans MS" w:hAnsi="Comic Sans MS"/>
          <w:sz w:val="28"/>
          <w:szCs w:val="28"/>
        </w:rPr>
        <w:t xml:space="preserve">A </w:t>
      </w:r>
      <w:r w:rsidRPr="00ED77AC">
        <w:rPr>
          <w:rFonts w:ascii="Comic Sans MS" w:hAnsi="Comic Sans MS"/>
          <w:sz w:val="28"/>
          <w:szCs w:val="28"/>
        </w:rPr>
        <w:t xml:space="preserve">GSP </w:t>
      </w:r>
      <w:r w:rsidRPr="00ED77AC">
        <w:rPr>
          <w:rFonts w:ascii="Comic Sans MS" w:hAnsi="Comic Sans MS"/>
          <w:sz w:val="28"/>
          <w:szCs w:val="28"/>
        </w:rPr>
        <w:lastRenderedPageBreak/>
        <w:t>giving country can</w:t>
      </w:r>
      <w:r>
        <w:rPr>
          <w:rFonts w:ascii="Comic Sans MS" w:hAnsi="Comic Sans MS"/>
          <w:sz w:val="28"/>
          <w:szCs w:val="28"/>
        </w:rPr>
        <w:t>not</w:t>
      </w:r>
      <w:r w:rsidRPr="00ED77AC">
        <w:rPr>
          <w:rFonts w:ascii="Comic Sans MS" w:hAnsi="Comic Sans MS"/>
          <w:sz w:val="28"/>
          <w:szCs w:val="28"/>
        </w:rPr>
        <w:t xml:space="preserve"> chop and change the</w:t>
      </w:r>
      <w:r>
        <w:rPr>
          <w:rFonts w:ascii="Comic Sans MS" w:hAnsi="Comic Sans MS"/>
          <w:sz w:val="28"/>
          <w:szCs w:val="28"/>
        </w:rPr>
        <w:t xml:space="preserve"> product coverage and the depth of tariff cuts</w:t>
      </w:r>
      <w:r w:rsidRPr="00ED77AC">
        <w:rPr>
          <w:rFonts w:ascii="Comic Sans MS" w:hAnsi="Comic Sans MS"/>
          <w:sz w:val="28"/>
          <w:szCs w:val="28"/>
        </w:rPr>
        <w:t xml:space="preserve"> as it pleases.</w:t>
      </w:r>
      <w:r>
        <w:rPr>
          <w:rFonts w:ascii="Comic Sans MS" w:hAnsi="Comic Sans MS"/>
          <w:sz w:val="28"/>
          <w:szCs w:val="28"/>
        </w:rPr>
        <w:t xml:space="preserve"> </w:t>
      </w:r>
    </w:p>
    <w:p w:rsidR="002B60B7" w:rsidRDefault="002B60B7" w:rsidP="00E30904">
      <w:pPr>
        <w:jc w:val="both"/>
        <w:rPr>
          <w:rFonts w:ascii="Comic Sans MS" w:hAnsi="Comic Sans MS"/>
          <w:sz w:val="28"/>
          <w:szCs w:val="28"/>
        </w:rPr>
      </w:pPr>
      <w:r>
        <w:rPr>
          <w:rFonts w:ascii="Comic Sans MS" w:hAnsi="Comic Sans MS"/>
          <w:sz w:val="28"/>
          <w:szCs w:val="28"/>
        </w:rPr>
        <w:t xml:space="preserve">One </w:t>
      </w:r>
      <w:r w:rsidRPr="00E30904">
        <w:rPr>
          <w:rFonts w:ascii="Comic Sans MS" w:hAnsi="Comic Sans MS"/>
          <w:sz w:val="28"/>
          <w:szCs w:val="28"/>
        </w:rPr>
        <w:t>issue that  both the Panel and the Appe</w:t>
      </w:r>
      <w:r>
        <w:rPr>
          <w:rFonts w:ascii="Comic Sans MS" w:hAnsi="Comic Sans MS"/>
          <w:sz w:val="28"/>
          <w:szCs w:val="28"/>
        </w:rPr>
        <w:t>l</w:t>
      </w:r>
      <w:r w:rsidRPr="00E30904">
        <w:rPr>
          <w:rFonts w:ascii="Comic Sans MS" w:hAnsi="Comic Sans MS"/>
          <w:sz w:val="28"/>
          <w:szCs w:val="28"/>
        </w:rPr>
        <w:t>late Body did not deal with, because the issue did not arise,</w:t>
      </w:r>
      <w:r>
        <w:rPr>
          <w:rFonts w:ascii="Comic Sans MS" w:hAnsi="Comic Sans MS"/>
          <w:sz w:val="28"/>
          <w:szCs w:val="28"/>
        </w:rPr>
        <w:t xml:space="preserve"> but which is very relevant is </w:t>
      </w:r>
      <w:r w:rsidRPr="00E30904">
        <w:rPr>
          <w:rFonts w:ascii="Comic Sans MS" w:hAnsi="Comic Sans MS"/>
          <w:sz w:val="28"/>
          <w:szCs w:val="28"/>
        </w:rPr>
        <w:t xml:space="preserve">whether the EC could completely exclude from its GSP scheme countries claiming developing country status. The issue did not arise because India and all the countries enjoying tariff preferences under the Drug Arrangements </w:t>
      </w:r>
      <w:r>
        <w:rPr>
          <w:rFonts w:ascii="Comic Sans MS" w:hAnsi="Comic Sans MS"/>
          <w:sz w:val="28"/>
          <w:szCs w:val="28"/>
        </w:rPr>
        <w:t xml:space="preserve">were </w:t>
      </w:r>
      <w:r w:rsidRPr="00E30904">
        <w:rPr>
          <w:rFonts w:ascii="Comic Sans MS" w:hAnsi="Comic Sans MS"/>
          <w:sz w:val="28"/>
          <w:szCs w:val="28"/>
        </w:rPr>
        <w:t>beneficiaries under the EC's GSP scheme. The Appe</w:t>
      </w:r>
      <w:r>
        <w:rPr>
          <w:rFonts w:ascii="Comic Sans MS" w:hAnsi="Comic Sans MS"/>
          <w:sz w:val="28"/>
          <w:szCs w:val="28"/>
        </w:rPr>
        <w:t>l</w:t>
      </w:r>
      <w:r w:rsidRPr="00E30904">
        <w:rPr>
          <w:rFonts w:ascii="Comic Sans MS" w:hAnsi="Comic Sans MS"/>
          <w:sz w:val="28"/>
          <w:szCs w:val="28"/>
        </w:rPr>
        <w:t>late Body therefore did not rule on whether the Enabling Clause permits</w:t>
      </w:r>
      <w:r>
        <w:rPr>
          <w:rFonts w:ascii="Comic Sans MS" w:hAnsi="Comic Sans MS"/>
          <w:sz w:val="28"/>
          <w:szCs w:val="28"/>
        </w:rPr>
        <w:t xml:space="preserve"> </w:t>
      </w:r>
      <w:proofErr w:type="spellStart"/>
      <w:r w:rsidRPr="00E30904">
        <w:rPr>
          <w:rFonts w:ascii="Comic Sans MS" w:hAnsi="Comic Sans MS"/>
          <w:i/>
          <w:sz w:val="28"/>
          <w:szCs w:val="28"/>
        </w:rPr>
        <w:t>ab</w:t>
      </w:r>
      <w:proofErr w:type="spellEnd"/>
      <w:r w:rsidRPr="00E30904">
        <w:rPr>
          <w:rFonts w:ascii="Comic Sans MS" w:hAnsi="Comic Sans MS"/>
          <w:i/>
          <w:sz w:val="28"/>
          <w:szCs w:val="28"/>
        </w:rPr>
        <w:t xml:space="preserve"> initio</w:t>
      </w:r>
      <w:r>
        <w:rPr>
          <w:rFonts w:ascii="Comic Sans MS" w:hAnsi="Comic Sans MS"/>
          <w:sz w:val="28"/>
          <w:szCs w:val="28"/>
        </w:rPr>
        <w:t> </w:t>
      </w:r>
      <w:r w:rsidRPr="00E30904">
        <w:rPr>
          <w:rFonts w:ascii="Comic Sans MS" w:hAnsi="Comic Sans MS"/>
          <w:sz w:val="28"/>
          <w:szCs w:val="28"/>
        </w:rPr>
        <w:t xml:space="preserve">exclusions from GSP schemes of countries claiming developing country status, or the partial or total withdrawal of GSP benefits from certain developing countries under certain conditions. </w:t>
      </w:r>
    </w:p>
    <w:p w:rsidR="002B60B7" w:rsidRDefault="002B60B7" w:rsidP="00E30904">
      <w:pPr>
        <w:jc w:val="both"/>
        <w:rPr>
          <w:rFonts w:ascii="Comic Sans MS" w:hAnsi="Comic Sans MS"/>
          <w:sz w:val="28"/>
          <w:szCs w:val="28"/>
        </w:rPr>
      </w:pPr>
    </w:p>
    <w:p w:rsidR="002B60B7" w:rsidRDefault="002B60B7" w:rsidP="00EE03F2">
      <w:pPr>
        <w:jc w:val="both"/>
        <w:rPr>
          <w:rFonts w:ascii="Comic Sans MS" w:hAnsi="Comic Sans MS"/>
          <w:sz w:val="28"/>
          <w:szCs w:val="28"/>
        </w:rPr>
      </w:pPr>
      <w:r>
        <w:rPr>
          <w:rFonts w:ascii="Comic Sans MS" w:hAnsi="Comic Sans MS"/>
          <w:sz w:val="28"/>
          <w:szCs w:val="28"/>
        </w:rPr>
        <w:t>What the EC has done in excluding completely from the GSP scheme some countries</w:t>
      </w:r>
      <w:r>
        <w:rPr>
          <w:rStyle w:val="FootnoteReference"/>
          <w:rFonts w:ascii="Comic Sans MS" w:hAnsi="Comic Sans MS"/>
          <w:sz w:val="28"/>
          <w:szCs w:val="28"/>
        </w:rPr>
        <w:footnoteReference w:id="55"/>
      </w:r>
      <w:r>
        <w:rPr>
          <w:rFonts w:ascii="Comic Sans MS" w:hAnsi="Comic Sans MS"/>
          <w:sz w:val="28"/>
          <w:szCs w:val="28"/>
        </w:rPr>
        <w:t xml:space="preserve">, for whatever reasons, cannot stand scrutiny before a WTO Panel or the Appellate Body, it can be argued. </w:t>
      </w:r>
      <w:r w:rsidRPr="00D03A44">
        <w:rPr>
          <w:rFonts w:ascii="Comic Sans MS" w:hAnsi="Comic Sans MS"/>
          <w:sz w:val="28"/>
          <w:szCs w:val="28"/>
        </w:rPr>
        <w:t xml:space="preserve">Based on the context and the preparatory work of the Enabling Clause, the term "generalized" </w:t>
      </w:r>
      <w:r>
        <w:rPr>
          <w:rFonts w:ascii="Comic Sans MS" w:hAnsi="Comic Sans MS"/>
          <w:sz w:val="28"/>
          <w:szCs w:val="28"/>
        </w:rPr>
        <w:t xml:space="preserve">is to be understood as having </w:t>
      </w:r>
      <w:r w:rsidRPr="00D03A44">
        <w:rPr>
          <w:rFonts w:ascii="Comic Sans MS" w:hAnsi="Comic Sans MS"/>
          <w:sz w:val="28"/>
          <w:szCs w:val="28"/>
        </w:rPr>
        <w:t xml:space="preserve">two meanings:  </w:t>
      </w:r>
      <w:r>
        <w:rPr>
          <w:rFonts w:ascii="Comic Sans MS" w:hAnsi="Comic Sans MS"/>
          <w:sz w:val="28"/>
          <w:szCs w:val="28"/>
        </w:rPr>
        <w:t xml:space="preserve">one, of </w:t>
      </w:r>
      <w:r w:rsidRPr="00D03A44">
        <w:rPr>
          <w:rFonts w:ascii="Comic Sans MS" w:hAnsi="Comic Sans MS"/>
          <w:sz w:val="28"/>
          <w:szCs w:val="28"/>
        </w:rPr>
        <w:t xml:space="preserve">providing </w:t>
      </w:r>
      <w:r>
        <w:rPr>
          <w:rFonts w:ascii="Comic Sans MS" w:hAnsi="Comic Sans MS"/>
          <w:sz w:val="28"/>
          <w:szCs w:val="28"/>
        </w:rPr>
        <w:t xml:space="preserve">GSP to all developing countries, </w:t>
      </w:r>
      <w:r w:rsidRPr="00D03A44">
        <w:rPr>
          <w:rFonts w:ascii="Comic Sans MS" w:hAnsi="Comic Sans MS"/>
          <w:sz w:val="28"/>
          <w:szCs w:val="28"/>
        </w:rPr>
        <w:t>and</w:t>
      </w:r>
      <w:r>
        <w:rPr>
          <w:rFonts w:ascii="Comic Sans MS" w:hAnsi="Comic Sans MS"/>
          <w:sz w:val="28"/>
          <w:szCs w:val="28"/>
        </w:rPr>
        <w:t xml:space="preserve"> the other of </w:t>
      </w:r>
      <w:r w:rsidRPr="00D03A44">
        <w:rPr>
          <w:rFonts w:ascii="Comic Sans MS" w:hAnsi="Comic Sans MS"/>
          <w:sz w:val="28"/>
          <w:szCs w:val="28"/>
        </w:rPr>
        <w:t>ensuring sufficiently broad coverage of products in GSP.</w:t>
      </w:r>
      <w:r>
        <w:rPr>
          <w:rStyle w:val="FootnoteReference"/>
          <w:rFonts w:ascii="Comic Sans MS" w:hAnsi="Comic Sans MS"/>
          <w:sz w:val="28"/>
          <w:szCs w:val="28"/>
        </w:rPr>
        <w:footnoteReference w:id="56"/>
      </w:r>
      <w:r w:rsidRPr="00D03A44">
        <w:rPr>
          <w:rFonts w:ascii="Comic Sans MS" w:hAnsi="Comic Sans MS"/>
          <w:sz w:val="28"/>
          <w:szCs w:val="28"/>
        </w:rPr>
        <w:t xml:space="preserve"> </w:t>
      </w:r>
      <w:r>
        <w:rPr>
          <w:rFonts w:ascii="Comic Sans MS" w:hAnsi="Comic Sans MS"/>
          <w:sz w:val="28"/>
          <w:szCs w:val="28"/>
        </w:rPr>
        <w:t>I</w:t>
      </w:r>
      <w:r w:rsidRPr="0093724B">
        <w:rPr>
          <w:rFonts w:ascii="Comic Sans MS" w:hAnsi="Comic Sans MS"/>
          <w:sz w:val="28"/>
          <w:szCs w:val="28"/>
        </w:rPr>
        <w:t xml:space="preserve">ndia's view </w:t>
      </w:r>
      <w:r>
        <w:rPr>
          <w:rFonts w:ascii="Comic Sans MS" w:hAnsi="Comic Sans MS"/>
          <w:sz w:val="28"/>
          <w:szCs w:val="28"/>
        </w:rPr>
        <w:t xml:space="preserve">expressed before the Panel </w:t>
      </w:r>
      <w:r w:rsidRPr="0093724B">
        <w:rPr>
          <w:rFonts w:ascii="Comic Sans MS" w:hAnsi="Comic Sans MS"/>
          <w:sz w:val="28"/>
          <w:szCs w:val="28"/>
        </w:rPr>
        <w:t xml:space="preserve">that preference-giving countries do not have a legal right to exclude any country claiming developing country </w:t>
      </w:r>
      <w:r>
        <w:rPr>
          <w:rFonts w:ascii="Comic Sans MS" w:hAnsi="Comic Sans MS"/>
          <w:sz w:val="28"/>
          <w:szCs w:val="28"/>
        </w:rPr>
        <w:t>status must be taken as the correct interpretation of the Enabling Clause.</w:t>
      </w:r>
      <w:r w:rsidRPr="0093724B">
        <w:rPr>
          <w:rFonts w:ascii="Comic Sans MS" w:hAnsi="Comic Sans MS"/>
          <w:sz w:val="28"/>
          <w:szCs w:val="28"/>
        </w:rPr>
        <w:t xml:space="preserve">  </w:t>
      </w:r>
    </w:p>
    <w:p w:rsidR="002B60B7" w:rsidRDefault="002B60B7" w:rsidP="00EE03F2">
      <w:pPr>
        <w:jc w:val="both"/>
        <w:rPr>
          <w:rFonts w:ascii="Comic Sans MS" w:hAnsi="Comic Sans MS"/>
          <w:sz w:val="28"/>
          <w:szCs w:val="28"/>
        </w:rPr>
      </w:pPr>
    </w:p>
    <w:p w:rsidR="002B60B7" w:rsidRPr="00EE03F2" w:rsidRDefault="002B60B7" w:rsidP="00EE03F2">
      <w:pPr>
        <w:jc w:val="both"/>
        <w:rPr>
          <w:rFonts w:ascii="Comic Sans MS" w:hAnsi="Comic Sans MS"/>
          <w:sz w:val="28"/>
          <w:szCs w:val="28"/>
        </w:rPr>
      </w:pPr>
      <w:r>
        <w:rPr>
          <w:rFonts w:ascii="Comic Sans MS" w:hAnsi="Comic Sans MS"/>
          <w:sz w:val="28"/>
          <w:szCs w:val="28"/>
        </w:rPr>
        <w:t xml:space="preserve">And it can further be argued that what the EC seeks to do by withdrawing practically all GSP benefits from some developing countries but maintaining their names on the list as ‘eligible’ but </w:t>
      </w:r>
      <w:r>
        <w:rPr>
          <w:rFonts w:ascii="Comic Sans MS" w:hAnsi="Comic Sans MS"/>
          <w:sz w:val="28"/>
          <w:szCs w:val="28"/>
        </w:rPr>
        <w:lastRenderedPageBreak/>
        <w:t>‘not beneficiaries’, cannot stand scrutiny before a WTO Panel and the Appellate Body. W</w:t>
      </w:r>
      <w:r w:rsidRPr="00EE03F2">
        <w:rPr>
          <w:rFonts w:ascii="Comic Sans MS" w:hAnsi="Comic Sans MS"/>
          <w:sz w:val="28"/>
          <w:szCs w:val="28"/>
        </w:rPr>
        <w:t>ithdraw</w:t>
      </w:r>
      <w:r>
        <w:rPr>
          <w:rFonts w:ascii="Comic Sans MS" w:hAnsi="Comic Sans MS"/>
          <w:sz w:val="28"/>
          <w:szCs w:val="28"/>
        </w:rPr>
        <w:t>ing</w:t>
      </w:r>
      <w:r w:rsidRPr="00EE03F2">
        <w:rPr>
          <w:rFonts w:ascii="Comic Sans MS" w:hAnsi="Comic Sans MS"/>
          <w:sz w:val="28"/>
          <w:szCs w:val="28"/>
        </w:rPr>
        <w:t xml:space="preserve"> GSP benefits from </w:t>
      </w:r>
      <w:r>
        <w:rPr>
          <w:rFonts w:ascii="Comic Sans MS" w:hAnsi="Comic Sans MS"/>
          <w:sz w:val="28"/>
          <w:szCs w:val="28"/>
        </w:rPr>
        <w:t xml:space="preserve">some developing </w:t>
      </w:r>
      <w:r w:rsidRPr="00EE03F2">
        <w:rPr>
          <w:rFonts w:ascii="Comic Sans MS" w:hAnsi="Comic Sans MS"/>
          <w:sz w:val="28"/>
          <w:szCs w:val="28"/>
        </w:rPr>
        <w:t xml:space="preserve">countries under certain conditions </w:t>
      </w:r>
      <w:r>
        <w:rPr>
          <w:rFonts w:ascii="Comic Sans MS" w:hAnsi="Comic Sans MS"/>
          <w:sz w:val="28"/>
          <w:szCs w:val="28"/>
        </w:rPr>
        <w:t xml:space="preserve">to the extent that these countries’ participation in the scheme becomes meaningless, is as good as excluding them altogether. </w:t>
      </w:r>
    </w:p>
    <w:p w:rsidR="002B60B7" w:rsidRDefault="002B60B7" w:rsidP="003F15E9">
      <w:pPr>
        <w:jc w:val="both"/>
        <w:rPr>
          <w:rFonts w:ascii="Comic Sans MS" w:hAnsi="Comic Sans MS"/>
          <w:sz w:val="28"/>
          <w:szCs w:val="28"/>
        </w:rPr>
      </w:pPr>
    </w:p>
    <w:p w:rsidR="002B60B7" w:rsidRPr="000571B4" w:rsidRDefault="002B60B7" w:rsidP="003F15E9">
      <w:pPr>
        <w:jc w:val="both"/>
        <w:rPr>
          <w:rFonts w:ascii="Comic Sans MS" w:hAnsi="Comic Sans MS"/>
          <w:sz w:val="28"/>
          <w:szCs w:val="28"/>
        </w:rPr>
      </w:pPr>
      <w:r w:rsidRPr="000571B4">
        <w:rPr>
          <w:rFonts w:ascii="Comic Sans MS" w:hAnsi="Comic Sans MS"/>
          <w:sz w:val="28"/>
          <w:szCs w:val="28"/>
        </w:rPr>
        <w:t>In its requ</w:t>
      </w:r>
      <w:r>
        <w:rPr>
          <w:rFonts w:ascii="Comic Sans MS" w:hAnsi="Comic Sans MS"/>
          <w:sz w:val="28"/>
          <w:szCs w:val="28"/>
        </w:rPr>
        <w:t>est for the establishment of a P</w:t>
      </w:r>
      <w:r w:rsidRPr="000571B4">
        <w:rPr>
          <w:rFonts w:ascii="Comic Sans MS" w:hAnsi="Comic Sans MS"/>
          <w:sz w:val="28"/>
          <w:szCs w:val="28"/>
        </w:rPr>
        <w:t xml:space="preserve">anel, India had made claims not only with respect to the European Communities' special arrangements to combat drug production and trafficking, but also with respect to the European Communities' special incentive arrangements for the protection of the environment and </w:t>
      </w:r>
      <w:proofErr w:type="spellStart"/>
      <w:r w:rsidRPr="000571B4">
        <w:rPr>
          <w:rFonts w:ascii="Comic Sans MS" w:hAnsi="Comic Sans MS"/>
          <w:sz w:val="28"/>
          <w:szCs w:val="28"/>
        </w:rPr>
        <w:t>labour</w:t>
      </w:r>
      <w:proofErr w:type="spellEnd"/>
      <w:r w:rsidRPr="000571B4">
        <w:rPr>
          <w:rFonts w:ascii="Comic Sans MS" w:hAnsi="Comic Sans MS"/>
          <w:sz w:val="28"/>
          <w:szCs w:val="28"/>
        </w:rPr>
        <w:t xml:space="preserve"> rights.  India later decided to limit its complaint to the tariff preferences granted by the European Communities under its Drug Arrangements since no preferences had thus far been granted under the special incentive arrangements for the protection of the environment and that only one country, Moldova, had </w:t>
      </w:r>
      <w:r>
        <w:rPr>
          <w:rFonts w:ascii="Comic Sans MS" w:hAnsi="Comic Sans MS"/>
          <w:sz w:val="28"/>
          <w:szCs w:val="28"/>
        </w:rPr>
        <w:t xml:space="preserve">at that stage </w:t>
      </w:r>
      <w:r w:rsidRPr="000571B4">
        <w:rPr>
          <w:rFonts w:ascii="Comic Sans MS" w:hAnsi="Comic Sans MS"/>
          <w:sz w:val="28"/>
          <w:szCs w:val="28"/>
        </w:rPr>
        <w:t xml:space="preserve">been accorded preferences under the special incentive arrangements for the protection of </w:t>
      </w:r>
      <w:proofErr w:type="spellStart"/>
      <w:r w:rsidRPr="000571B4">
        <w:rPr>
          <w:rFonts w:ascii="Comic Sans MS" w:hAnsi="Comic Sans MS"/>
          <w:sz w:val="28"/>
          <w:szCs w:val="28"/>
        </w:rPr>
        <w:t>labour</w:t>
      </w:r>
      <w:proofErr w:type="spellEnd"/>
      <w:r w:rsidRPr="000571B4">
        <w:rPr>
          <w:rFonts w:ascii="Comic Sans MS" w:hAnsi="Comic Sans MS"/>
          <w:sz w:val="28"/>
          <w:szCs w:val="28"/>
        </w:rPr>
        <w:t xml:space="preserve"> rights.  However, India made it clear that it reserved its right to bring separate new complaints on the environmental and </w:t>
      </w:r>
      <w:proofErr w:type="spellStart"/>
      <w:r w:rsidRPr="000571B4">
        <w:rPr>
          <w:rFonts w:ascii="Comic Sans MS" w:hAnsi="Comic Sans MS"/>
          <w:sz w:val="28"/>
          <w:szCs w:val="28"/>
        </w:rPr>
        <w:t>labour</w:t>
      </w:r>
      <w:proofErr w:type="spellEnd"/>
      <w:r w:rsidRPr="000571B4">
        <w:rPr>
          <w:rFonts w:ascii="Comic Sans MS" w:hAnsi="Comic Sans MS"/>
          <w:sz w:val="28"/>
          <w:szCs w:val="28"/>
        </w:rPr>
        <w:t xml:space="preserve"> arrangements if the European Communities were to apply them in a manner detrimental to India's trade interests or if the European Communities were to renew them after the lapse of its General System of Preferences scheme on 31 December 2004.</w:t>
      </w:r>
      <w:r>
        <w:rPr>
          <w:rFonts w:ascii="Comic Sans MS" w:hAnsi="Comic Sans MS"/>
          <w:sz w:val="28"/>
          <w:szCs w:val="28"/>
        </w:rPr>
        <w:t xml:space="preserve">  </w:t>
      </w:r>
      <w:r w:rsidRPr="000571B4">
        <w:rPr>
          <w:rFonts w:ascii="Comic Sans MS" w:hAnsi="Comic Sans MS"/>
          <w:sz w:val="28"/>
          <w:szCs w:val="28"/>
        </w:rPr>
        <w:t>It is quite likely</w:t>
      </w:r>
      <w:r>
        <w:rPr>
          <w:rFonts w:ascii="Comic Sans MS" w:hAnsi="Comic Sans MS"/>
          <w:sz w:val="28"/>
          <w:szCs w:val="28"/>
        </w:rPr>
        <w:t>, therefore,</w:t>
      </w:r>
      <w:r w:rsidRPr="000571B4">
        <w:rPr>
          <w:rFonts w:ascii="Comic Sans MS" w:hAnsi="Comic Sans MS"/>
          <w:sz w:val="28"/>
          <w:szCs w:val="28"/>
        </w:rPr>
        <w:t xml:space="preserve"> that if the</w:t>
      </w:r>
      <w:r>
        <w:rPr>
          <w:rFonts w:ascii="Comic Sans MS" w:hAnsi="Comic Sans MS"/>
          <w:sz w:val="28"/>
          <w:szCs w:val="28"/>
        </w:rPr>
        <w:t xml:space="preserve"> EC were to apply the </w:t>
      </w:r>
      <w:r w:rsidRPr="003F15E9">
        <w:rPr>
          <w:rFonts w:ascii="Comic Sans MS" w:hAnsi="Comic Sans MS"/>
          <w:sz w:val="28"/>
          <w:szCs w:val="28"/>
        </w:rPr>
        <w:t>special incentive arrangement for sustainable development and good</w:t>
      </w:r>
      <w:r>
        <w:rPr>
          <w:rFonts w:ascii="Comic Sans MS" w:hAnsi="Comic Sans MS"/>
          <w:sz w:val="28"/>
          <w:szCs w:val="28"/>
        </w:rPr>
        <w:t xml:space="preserve"> governance </w:t>
      </w:r>
      <w:r w:rsidRPr="000571B4">
        <w:rPr>
          <w:rFonts w:ascii="Comic Sans MS" w:hAnsi="Comic Sans MS"/>
          <w:sz w:val="28"/>
          <w:szCs w:val="28"/>
        </w:rPr>
        <w:t>in a manner detrimental to some developing countries’ trade interests, then that s</w:t>
      </w:r>
      <w:r>
        <w:rPr>
          <w:rFonts w:ascii="Comic Sans MS" w:hAnsi="Comic Sans MS"/>
          <w:sz w:val="28"/>
          <w:szCs w:val="28"/>
        </w:rPr>
        <w:t>ch</w:t>
      </w:r>
      <w:r w:rsidRPr="000571B4">
        <w:rPr>
          <w:rFonts w:ascii="Comic Sans MS" w:hAnsi="Comic Sans MS"/>
          <w:sz w:val="28"/>
          <w:szCs w:val="28"/>
        </w:rPr>
        <w:t>eme could be challenged befo</w:t>
      </w:r>
      <w:r>
        <w:rPr>
          <w:rFonts w:ascii="Comic Sans MS" w:hAnsi="Comic Sans MS"/>
          <w:sz w:val="28"/>
          <w:szCs w:val="28"/>
        </w:rPr>
        <w:t>re a WTO Dispute S</w:t>
      </w:r>
      <w:r w:rsidRPr="000571B4">
        <w:rPr>
          <w:rFonts w:ascii="Comic Sans MS" w:hAnsi="Comic Sans MS"/>
          <w:sz w:val="28"/>
          <w:szCs w:val="28"/>
        </w:rPr>
        <w:t>ettlement Panel</w:t>
      </w:r>
      <w:r>
        <w:rPr>
          <w:rFonts w:ascii="Comic Sans MS" w:hAnsi="Comic Sans MS"/>
          <w:sz w:val="28"/>
          <w:szCs w:val="28"/>
        </w:rPr>
        <w:t xml:space="preserve"> or the Appellate Body</w:t>
      </w:r>
      <w:r w:rsidRPr="000571B4">
        <w:rPr>
          <w:rFonts w:ascii="Comic Sans MS" w:hAnsi="Comic Sans MS"/>
          <w:sz w:val="28"/>
          <w:szCs w:val="28"/>
        </w:rPr>
        <w:t xml:space="preserve">. </w:t>
      </w:r>
    </w:p>
    <w:p w:rsidR="002B60B7" w:rsidRDefault="002B60B7" w:rsidP="003F15E9">
      <w:pPr>
        <w:jc w:val="both"/>
        <w:rPr>
          <w:rFonts w:ascii="Comic Sans MS" w:hAnsi="Comic Sans MS"/>
          <w:sz w:val="28"/>
          <w:szCs w:val="28"/>
        </w:rPr>
      </w:pPr>
    </w:p>
    <w:p w:rsidR="002B60B7" w:rsidRPr="004E3118" w:rsidRDefault="002B60B7" w:rsidP="004E3118">
      <w:pPr>
        <w:pStyle w:val="Heading4"/>
        <w:rPr>
          <w:rFonts w:ascii="Comic Sans MS" w:hAnsi="Comic Sans MS"/>
          <w:b/>
          <w:sz w:val="24"/>
          <w:szCs w:val="24"/>
        </w:rPr>
      </w:pPr>
      <w:bookmarkStart w:id="11" w:name="_Toc295486239"/>
      <w:r w:rsidRPr="004E3118">
        <w:rPr>
          <w:rFonts w:ascii="Comic Sans MS" w:hAnsi="Comic Sans MS"/>
          <w:b/>
          <w:sz w:val="24"/>
          <w:szCs w:val="24"/>
        </w:rPr>
        <w:lastRenderedPageBreak/>
        <w:t>No Foundation in the CARIS Report</w:t>
      </w:r>
      <w:bookmarkEnd w:id="11"/>
    </w:p>
    <w:p w:rsidR="002B60B7" w:rsidRPr="00852CA8" w:rsidRDefault="002B60B7" w:rsidP="00852CA8">
      <w:pPr>
        <w:jc w:val="both"/>
        <w:rPr>
          <w:rFonts w:ascii="Comic Sans MS" w:hAnsi="Comic Sans MS"/>
          <w:sz w:val="28"/>
          <w:szCs w:val="28"/>
        </w:rPr>
      </w:pPr>
      <w:r w:rsidRPr="00852CA8">
        <w:rPr>
          <w:rFonts w:ascii="Comic Sans MS" w:hAnsi="Comic Sans MS"/>
          <w:sz w:val="28"/>
          <w:szCs w:val="28"/>
        </w:rPr>
        <w:t xml:space="preserve">It can be expected that the EC will argue that what it seeks to do in the EC GSP scheme proposal finds full support in the Report commissioned and financed by the Commission of the European Communities on the Mid-term Evaluation of the EU’s </w:t>
      </w:r>
      <w:proofErr w:type="spellStart"/>
      <w:r w:rsidRPr="00852CA8">
        <w:rPr>
          <w:rFonts w:ascii="Comic Sans MS" w:hAnsi="Comic Sans MS"/>
          <w:sz w:val="28"/>
          <w:szCs w:val="28"/>
        </w:rPr>
        <w:t>Generalised</w:t>
      </w:r>
      <w:proofErr w:type="spellEnd"/>
      <w:r w:rsidRPr="00852CA8">
        <w:rPr>
          <w:rFonts w:ascii="Comic Sans MS" w:hAnsi="Comic Sans MS"/>
          <w:sz w:val="28"/>
          <w:szCs w:val="28"/>
        </w:rPr>
        <w:t xml:space="preserve"> System of Preferences, submitted by the Centre for the Analysis of Regional Integration at Sussex (the CARIS Report). </w:t>
      </w:r>
      <w:r>
        <w:rPr>
          <w:rFonts w:ascii="Comic Sans MS" w:hAnsi="Comic Sans MS"/>
          <w:sz w:val="28"/>
          <w:szCs w:val="28"/>
        </w:rPr>
        <w:t xml:space="preserve">To the contrary, </w:t>
      </w:r>
      <w:r w:rsidRPr="00852CA8">
        <w:rPr>
          <w:rFonts w:ascii="Comic Sans MS" w:hAnsi="Comic Sans MS"/>
          <w:sz w:val="28"/>
          <w:szCs w:val="28"/>
        </w:rPr>
        <w:t>the CARIS Report provide an interesting background to the EC GSP scheme proposal</w:t>
      </w:r>
      <w:r>
        <w:rPr>
          <w:rFonts w:ascii="Comic Sans MS" w:hAnsi="Comic Sans MS"/>
          <w:sz w:val="28"/>
          <w:szCs w:val="28"/>
        </w:rPr>
        <w:t>, with some conclusions that contradict rather than support what the EC seeking to do.</w:t>
      </w:r>
    </w:p>
    <w:p w:rsidR="002B60B7" w:rsidRPr="00852CA8" w:rsidRDefault="002B60B7" w:rsidP="00852CA8">
      <w:pPr>
        <w:jc w:val="both"/>
        <w:rPr>
          <w:rFonts w:ascii="Comic Sans MS" w:hAnsi="Comic Sans MS"/>
          <w:sz w:val="28"/>
          <w:szCs w:val="28"/>
        </w:rPr>
      </w:pPr>
    </w:p>
    <w:p w:rsidR="002B60B7" w:rsidRPr="00852CA8" w:rsidRDefault="002B60B7" w:rsidP="00852CA8">
      <w:pPr>
        <w:jc w:val="both"/>
        <w:rPr>
          <w:rFonts w:ascii="Comic Sans MS" w:hAnsi="Comic Sans MS"/>
          <w:sz w:val="28"/>
          <w:szCs w:val="28"/>
        </w:rPr>
      </w:pPr>
      <w:r>
        <w:rPr>
          <w:rFonts w:ascii="Comic Sans MS" w:hAnsi="Comic Sans MS"/>
          <w:sz w:val="28"/>
          <w:szCs w:val="28"/>
        </w:rPr>
        <w:t>Tellingly, t</w:t>
      </w:r>
      <w:r w:rsidRPr="00852CA8">
        <w:rPr>
          <w:rFonts w:ascii="Comic Sans MS" w:hAnsi="Comic Sans MS"/>
          <w:sz w:val="28"/>
          <w:szCs w:val="28"/>
        </w:rPr>
        <w:t xml:space="preserve">he CARIS Report concludes that there are limits to how much the EU‘s GSP scheme can achieve on its own, and that it is likely to be more successful when combined with appropriate domestic institutions and policies and when the EU is an important export market for a developing country.  </w:t>
      </w:r>
      <w:r>
        <w:rPr>
          <w:rFonts w:ascii="Comic Sans MS" w:hAnsi="Comic Sans MS"/>
          <w:sz w:val="28"/>
          <w:szCs w:val="28"/>
        </w:rPr>
        <w:t>Further, t</w:t>
      </w:r>
      <w:r w:rsidRPr="00852CA8">
        <w:rPr>
          <w:rFonts w:ascii="Comic Sans MS" w:hAnsi="Comic Sans MS"/>
          <w:sz w:val="28"/>
          <w:szCs w:val="28"/>
        </w:rPr>
        <w:t xml:space="preserve">he CARIS Report concludes that the structure of the EU‘s preference regimes is such that the scope for offering significant preferential access for developing countries is largely limited to a few sectors, and that overall, it is only in agriculture and processed foods, and textiles and clothing that there is such scope. All this, the CARIS Report tells us, indicates that on average the preference regimes do not appear to account for a lot of the relevant countries’ trade with the EU and that once again, this would suggest that, on average, the structure of the GSP regimes may not be well directed towards the export needs of developing countries.  </w:t>
      </w:r>
    </w:p>
    <w:p w:rsidR="002B60B7" w:rsidRPr="00852CA8" w:rsidRDefault="002B60B7" w:rsidP="00852CA8">
      <w:pPr>
        <w:jc w:val="both"/>
        <w:rPr>
          <w:rFonts w:ascii="Comic Sans MS" w:hAnsi="Comic Sans MS"/>
          <w:sz w:val="28"/>
          <w:szCs w:val="28"/>
        </w:rPr>
      </w:pPr>
    </w:p>
    <w:p w:rsidR="002B60B7" w:rsidRPr="00852CA8" w:rsidRDefault="002B60B7" w:rsidP="00852CA8">
      <w:pPr>
        <w:jc w:val="both"/>
        <w:rPr>
          <w:rFonts w:ascii="Comic Sans MS" w:hAnsi="Comic Sans MS"/>
          <w:sz w:val="28"/>
          <w:szCs w:val="28"/>
        </w:rPr>
      </w:pPr>
      <w:r w:rsidRPr="00852CA8">
        <w:rPr>
          <w:rFonts w:ascii="Comic Sans MS" w:hAnsi="Comic Sans MS"/>
          <w:sz w:val="28"/>
          <w:szCs w:val="28"/>
        </w:rPr>
        <w:t xml:space="preserve">For the majority of GSP countries, the CARIS Report further tells us, first, that given their export structure, being offered GSP tariffs as opposed to MFN tariffs gives beneficiary countries only a small preference margin and, secondly, that even </w:t>
      </w:r>
      <w:r w:rsidRPr="00852CA8">
        <w:rPr>
          <w:rFonts w:ascii="Comic Sans MS" w:hAnsi="Comic Sans MS"/>
          <w:sz w:val="28"/>
          <w:szCs w:val="28"/>
        </w:rPr>
        <w:lastRenderedPageBreak/>
        <w:t xml:space="preserve">if all GSP countries were to be offered improved GSP+ tariffs, this would again not make a big difference on average for the majority of such countries.  Importantly, the CARIS Report states that for over half of the GSP countries the additional duty free access that the GSP scheme offers is unlikely to significantly impact on their trade flows. The reason for this being that a great deal of their trade already enters the EU market under MFN duty free. Similarly, for over half of the GSP countries, even if they were offered additional preferences, this would be unlikely to make a significant impact.  </w:t>
      </w:r>
    </w:p>
    <w:p w:rsidR="002B60B7" w:rsidRDefault="002B60B7" w:rsidP="00E06B45">
      <w:pPr>
        <w:jc w:val="both"/>
        <w:rPr>
          <w:rFonts w:ascii="Comic Sans MS" w:hAnsi="Comic Sans MS"/>
          <w:sz w:val="28"/>
          <w:szCs w:val="28"/>
        </w:rPr>
      </w:pPr>
    </w:p>
    <w:p w:rsidR="002B60B7" w:rsidRDefault="002B60B7" w:rsidP="00E06B45">
      <w:pPr>
        <w:jc w:val="both"/>
        <w:rPr>
          <w:rFonts w:ascii="Comic Sans MS" w:hAnsi="Comic Sans MS"/>
          <w:sz w:val="28"/>
          <w:szCs w:val="28"/>
        </w:rPr>
      </w:pPr>
      <w:r>
        <w:rPr>
          <w:rFonts w:ascii="Comic Sans MS" w:hAnsi="Comic Sans MS"/>
          <w:sz w:val="28"/>
          <w:szCs w:val="28"/>
        </w:rPr>
        <w:t>As we learn from the CARIS Report t</w:t>
      </w:r>
      <w:r w:rsidRPr="00526F96">
        <w:rPr>
          <w:rFonts w:ascii="Comic Sans MS" w:hAnsi="Comic Sans MS"/>
          <w:sz w:val="28"/>
          <w:szCs w:val="28"/>
        </w:rPr>
        <w:t xml:space="preserve">here are many </w:t>
      </w:r>
      <w:r>
        <w:rPr>
          <w:rFonts w:ascii="Comic Sans MS" w:hAnsi="Comic Sans MS"/>
          <w:sz w:val="28"/>
          <w:szCs w:val="28"/>
        </w:rPr>
        <w:t xml:space="preserve">other </w:t>
      </w:r>
      <w:r w:rsidRPr="00526F96">
        <w:rPr>
          <w:rFonts w:ascii="Comic Sans MS" w:hAnsi="Comic Sans MS"/>
          <w:sz w:val="28"/>
          <w:szCs w:val="28"/>
        </w:rPr>
        <w:t>reasons for the non-</w:t>
      </w:r>
      <w:proofErr w:type="spellStart"/>
      <w:r w:rsidRPr="00526F96">
        <w:rPr>
          <w:rFonts w:ascii="Comic Sans MS" w:hAnsi="Comic Sans MS"/>
          <w:sz w:val="28"/>
          <w:szCs w:val="28"/>
        </w:rPr>
        <w:t>utilisation</w:t>
      </w:r>
      <w:proofErr w:type="spellEnd"/>
      <w:r w:rsidRPr="00526F96">
        <w:rPr>
          <w:rFonts w:ascii="Comic Sans MS" w:hAnsi="Comic Sans MS"/>
          <w:sz w:val="28"/>
          <w:szCs w:val="28"/>
        </w:rPr>
        <w:t xml:space="preserve"> of preference schemes beyond the EC’s imagined crowding out of poor, vulnerable countries by the emerging economies. These other reasons </w:t>
      </w:r>
      <w:r>
        <w:rPr>
          <w:rFonts w:ascii="Comic Sans MS" w:hAnsi="Comic Sans MS"/>
          <w:sz w:val="28"/>
          <w:szCs w:val="28"/>
        </w:rPr>
        <w:t xml:space="preserve">include </w:t>
      </w:r>
      <w:r w:rsidRPr="00526F96">
        <w:rPr>
          <w:rFonts w:ascii="Comic Sans MS" w:hAnsi="Comic Sans MS"/>
          <w:sz w:val="28"/>
          <w:szCs w:val="28"/>
        </w:rPr>
        <w:t xml:space="preserve">costs of compliance associated </w:t>
      </w:r>
      <w:r>
        <w:rPr>
          <w:rFonts w:ascii="Comic Sans MS" w:hAnsi="Comic Sans MS"/>
          <w:sz w:val="28"/>
          <w:szCs w:val="28"/>
        </w:rPr>
        <w:t xml:space="preserve">with </w:t>
      </w:r>
      <w:r w:rsidRPr="00526F96">
        <w:rPr>
          <w:rFonts w:ascii="Comic Sans MS" w:hAnsi="Comic Sans MS"/>
          <w:sz w:val="28"/>
          <w:szCs w:val="28"/>
        </w:rPr>
        <w:t>preferential regimes, availability of the products to export, compliance with product specific rules of origin</w:t>
      </w:r>
      <w:r>
        <w:rPr>
          <w:rFonts w:ascii="Comic Sans MS" w:hAnsi="Comic Sans MS"/>
          <w:sz w:val="28"/>
          <w:szCs w:val="28"/>
        </w:rPr>
        <w:t>,</w:t>
      </w:r>
      <w:r w:rsidRPr="00526F96">
        <w:rPr>
          <w:rFonts w:ascii="Comic Sans MS" w:hAnsi="Comic Sans MS"/>
          <w:sz w:val="28"/>
          <w:szCs w:val="28"/>
        </w:rPr>
        <w:t xml:space="preserve"> and export administration.</w:t>
      </w:r>
      <w:r w:rsidRPr="00526F96">
        <w:rPr>
          <w:rStyle w:val="FootnoteReference"/>
          <w:rFonts w:ascii="Comic Sans MS" w:hAnsi="Comic Sans MS"/>
          <w:sz w:val="28"/>
          <w:szCs w:val="28"/>
        </w:rPr>
        <w:footnoteReference w:id="57"/>
      </w:r>
      <w:r w:rsidRPr="00526F96">
        <w:rPr>
          <w:rFonts w:ascii="Comic Sans MS" w:hAnsi="Comic Sans MS"/>
          <w:sz w:val="28"/>
          <w:szCs w:val="28"/>
        </w:rPr>
        <w:t xml:space="preserve"> And as we now know, most GSP countries enjoy preferences only for a subset of products</w:t>
      </w:r>
      <w:r>
        <w:rPr>
          <w:rFonts w:ascii="Comic Sans MS" w:hAnsi="Comic Sans MS"/>
          <w:sz w:val="28"/>
          <w:szCs w:val="28"/>
        </w:rPr>
        <w:t xml:space="preserve">. In any case, it is the </w:t>
      </w:r>
      <w:r w:rsidRPr="00526F96">
        <w:rPr>
          <w:rFonts w:ascii="Comic Sans MS" w:hAnsi="Comic Sans MS"/>
          <w:sz w:val="28"/>
          <w:szCs w:val="28"/>
        </w:rPr>
        <w:t xml:space="preserve">rich countries </w:t>
      </w:r>
      <w:r>
        <w:rPr>
          <w:rFonts w:ascii="Comic Sans MS" w:hAnsi="Comic Sans MS"/>
          <w:sz w:val="28"/>
          <w:szCs w:val="28"/>
        </w:rPr>
        <w:t xml:space="preserve">that </w:t>
      </w:r>
      <w:r w:rsidRPr="00526F96">
        <w:rPr>
          <w:rFonts w:ascii="Comic Sans MS" w:hAnsi="Comic Sans MS"/>
          <w:sz w:val="28"/>
          <w:szCs w:val="28"/>
        </w:rPr>
        <w:t xml:space="preserve">are more likely than poor countries to utilize tariff preferences. </w:t>
      </w:r>
    </w:p>
    <w:p w:rsidR="002B60B7" w:rsidRDefault="002B60B7" w:rsidP="00E06B45">
      <w:pPr>
        <w:jc w:val="both"/>
        <w:rPr>
          <w:rFonts w:ascii="Comic Sans MS" w:hAnsi="Comic Sans MS"/>
          <w:sz w:val="28"/>
          <w:szCs w:val="28"/>
        </w:rPr>
      </w:pPr>
    </w:p>
    <w:p w:rsidR="002B60B7" w:rsidRDefault="002B60B7" w:rsidP="00EF4228">
      <w:pPr>
        <w:jc w:val="both"/>
        <w:rPr>
          <w:rFonts w:ascii="Comic Sans MS" w:hAnsi="Comic Sans MS"/>
          <w:sz w:val="28"/>
          <w:szCs w:val="28"/>
        </w:rPr>
      </w:pPr>
      <w:r w:rsidRPr="00CE7BF7">
        <w:rPr>
          <w:rFonts w:ascii="Comic Sans MS" w:hAnsi="Comic Sans MS"/>
          <w:sz w:val="28"/>
          <w:szCs w:val="28"/>
        </w:rPr>
        <w:t xml:space="preserve">It </w:t>
      </w:r>
      <w:r>
        <w:rPr>
          <w:rFonts w:ascii="Comic Sans MS" w:hAnsi="Comic Sans MS"/>
          <w:sz w:val="28"/>
          <w:szCs w:val="28"/>
        </w:rPr>
        <w:t xml:space="preserve">is </w:t>
      </w:r>
      <w:r w:rsidRPr="00CE7BF7">
        <w:rPr>
          <w:rFonts w:ascii="Comic Sans MS" w:hAnsi="Comic Sans MS"/>
          <w:sz w:val="28"/>
          <w:szCs w:val="28"/>
        </w:rPr>
        <w:t>a fallacy that when the EC excludes from its GSP scheme those middle and upper</w:t>
      </w:r>
      <w:r>
        <w:rPr>
          <w:rFonts w:ascii="Comic Sans MS" w:hAnsi="Comic Sans MS"/>
          <w:sz w:val="28"/>
          <w:szCs w:val="28"/>
        </w:rPr>
        <w:t>-</w:t>
      </w:r>
      <w:r w:rsidRPr="00CE7BF7">
        <w:rPr>
          <w:rFonts w:ascii="Comic Sans MS" w:hAnsi="Comic Sans MS"/>
          <w:sz w:val="28"/>
          <w:szCs w:val="28"/>
        </w:rPr>
        <w:t>income countries then the poor vulnerable developing countries will make use of those preferences</w:t>
      </w:r>
      <w:r>
        <w:rPr>
          <w:rFonts w:ascii="Comic Sans MS" w:hAnsi="Comic Sans MS"/>
          <w:sz w:val="28"/>
          <w:szCs w:val="28"/>
        </w:rPr>
        <w:t xml:space="preserve"> and the space created. </w:t>
      </w:r>
      <w:r w:rsidRPr="00CE7BF7">
        <w:rPr>
          <w:rFonts w:ascii="Comic Sans MS" w:hAnsi="Comic Sans MS"/>
          <w:sz w:val="28"/>
          <w:szCs w:val="28"/>
        </w:rPr>
        <w:t>What the CARIS Report tells us, in a nutshell, is that the impact of different preferences and changes in those preferences will not only depend on the exporting structure of individual GSP beneficiary countries, but also on the structures of other competing countries. What might help poor beneficiary countries is not shutting out beneficiaries who are doing well</w:t>
      </w:r>
      <w:r>
        <w:rPr>
          <w:rFonts w:ascii="Comic Sans MS" w:hAnsi="Comic Sans MS"/>
          <w:sz w:val="28"/>
          <w:szCs w:val="28"/>
        </w:rPr>
        <w:t xml:space="preserve">. </w:t>
      </w:r>
      <w:r>
        <w:rPr>
          <w:rFonts w:ascii="Comic Sans MS" w:hAnsi="Comic Sans MS"/>
          <w:sz w:val="28"/>
          <w:szCs w:val="28"/>
        </w:rPr>
        <w:lastRenderedPageBreak/>
        <w:t xml:space="preserve">What might help is </w:t>
      </w:r>
      <w:r w:rsidRPr="00CE7BF7">
        <w:rPr>
          <w:rFonts w:ascii="Comic Sans MS" w:hAnsi="Comic Sans MS"/>
          <w:sz w:val="28"/>
          <w:szCs w:val="28"/>
        </w:rPr>
        <w:t xml:space="preserve">offering improved preferences </w:t>
      </w:r>
      <w:r>
        <w:rPr>
          <w:rFonts w:ascii="Comic Sans MS" w:hAnsi="Comic Sans MS"/>
          <w:sz w:val="28"/>
          <w:szCs w:val="28"/>
        </w:rPr>
        <w:t xml:space="preserve">to </w:t>
      </w:r>
      <w:r w:rsidRPr="00CE7BF7">
        <w:rPr>
          <w:rFonts w:ascii="Comic Sans MS" w:hAnsi="Comic Sans MS"/>
          <w:sz w:val="28"/>
          <w:szCs w:val="28"/>
        </w:rPr>
        <w:t>the poor countries to help their exports to the EU. There is no evidence that the GSP schemes have led to any export diversification and a move into new export products on the part of the beneficiary countries. This is still unlikely to happen for the poor countries if the emerging economies are kicked out of the scheme.</w:t>
      </w:r>
      <w:r>
        <w:rPr>
          <w:rFonts w:ascii="Comic Sans MS" w:hAnsi="Comic Sans MS"/>
          <w:sz w:val="28"/>
          <w:szCs w:val="28"/>
        </w:rPr>
        <w:t xml:space="preserve"> </w:t>
      </w:r>
    </w:p>
    <w:p w:rsidR="002B60B7" w:rsidRDefault="002B60B7" w:rsidP="00EF4228">
      <w:pPr>
        <w:jc w:val="both"/>
        <w:rPr>
          <w:rFonts w:ascii="Comic Sans MS" w:hAnsi="Comic Sans MS"/>
          <w:sz w:val="28"/>
          <w:szCs w:val="28"/>
        </w:rPr>
      </w:pPr>
    </w:p>
    <w:p w:rsidR="002B60B7" w:rsidRPr="00852CA8" w:rsidRDefault="002B60B7" w:rsidP="00852CA8">
      <w:pPr>
        <w:jc w:val="both"/>
        <w:rPr>
          <w:rFonts w:ascii="Comic Sans MS" w:hAnsi="Comic Sans MS"/>
          <w:sz w:val="28"/>
          <w:szCs w:val="28"/>
        </w:rPr>
      </w:pPr>
      <w:r w:rsidRPr="00852CA8">
        <w:rPr>
          <w:rFonts w:ascii="Comic Sans MS" w:hAnsi="Comic Sans MS"/>
          <w:sz w:val="28"/>
          <w:szCs w:val="28"/>
        </w:rPr>
        <w:t>The conclusions of the CARIS Report</w:t>
      </w:r>
      <w:r>
        <w:rPr>
          <w:rFonts w:ascii="Comic Sans MS" w:hAnsi="Comic Sans MS"/>
          <w:sz w:val="28"/>
          <w:szCs w:val="28"/>
        </w:rPr>
        <w:t>, therefore, point in a direction</w:t>
      </w:r>
      <w:r w:rsidRPr="00852CA8">
        <w:rPr>
          <w:rFonts w:ascii="Comic Sans MS" w:hAnsi="Comic Sans MS"/>
          <w:sz w:val="28"/>
          <w:szCs w:val="28"/>
        </w:rPr>
        <w:t xml:space="preserve"> </w:t>
      </w:r>
      <w:r>
        <w:rPr>
          <w:rFonts w:ascii="Comic Sans MS" w:hAnsi="Comic Sans MS"/>
          <w:sz w:val="28"/>
          <w:szCs w:val="28"/>
        </w:rPr>
        <w:t>different from the one the EC proposes to take.</w:t>
      </w:r>
    </w:p>
    <w:p w:rsidR="002B60B7" w:rsidRDefault="002B60B7" w:rsidP="003F15E9">
      <w:pPr>
        <w:jc w:val="both"/>
        <w:rPr>
          <w:rFonts w:ascii="Comic Sans MS" w:hAnsi="Comic Sans MS"/>
          <w:sz w:val="28"/>
          <w:szCs w:val="28"/>
        </w:rPr>
      </w:pPr>
      <w:r>
        <w:rPr>
          <w:rFonts w:ascii="Comic Sans MS" w:hAnsi="Comic Sans MS"/>
          <w:sz w:val="28"/>
          <w:szCs w:val="28"/>
        </w:rPr>
        <w:t xml:space="preserve"> </w:t>
      </w:r>
    </w:p>
    <w:p w:rsidR="002B60B7" w:rsidRPr="000153BE" w:rsidRDefault="002B60B7" w:rsidP="000B0B2F">
      <w:pPr>
        <w:pStyle w:val="Heading3"/>
        <w:numPr>
          <w:ilvl w:val="1"/>
          <w:numId w:val="3"/>
        </w:numPr>
        <w:rPr>
          <w:rFonts w:ascii="Comic Sans MS" w:hAnsi="Comic Sans MS"/>
          <w:bCs/>
          <w:sz w:val="28"/>
        </w:rPr>
      </w:pPr>
      <w:bookmarkStart w:id="12" w:name="_Toc295486240"/>
      <w:r>
        <w:rPr>
          <w:rFonts w:ascii="Comic Sans MS" w:hAnsi="Comic Sans MS"/>
          <w:bCs/>
          <w:sz w:val="28"/>
        </w:rPr>
        <w:t>S</w:t>
      </w:r>
      <w:r w:rsidRPr="000153BE">
        <w:rPr>
          <w:rFonts w:ascii="Comic Sans MS" w:hAnsi="Comic Sans MS"/>
          <w:bCs/>
          <w:sz w:val="28"/>
        </w:rPr>
        <w:t>pecial Burdens</w:t>
      </w:r>
      <w:r>
        <w:rPr>
          <w:rFonts w:ascii="Comic Sans MS" w:hAnsi="Comic Sans MS"/>
          <w:bCs/>
          <w:sz w:val="28"/>
        </w:rPr>
        <w:t xml:space="preserve">, Special </w:t>
      </w:r>
      <w:r w:rsidRPr="000153BE">
        <w:rPr>
          <w:rFonts w:ascii="Comic Sans MS" w:hAnsi="Comic Sans MS"/>
          <w:bCs/>
          <w:sz w:val="28"/>
        </w:rPr>
        <w:t>Responsibilities</w:t>
      </w:r>
      <w:bookmarkEnd w:id="12"/>
    </w:p>
    <w:p w:rsidR="002B60B7" w:rsidRPr="00D809C4" w:rsidRDefault="002B60B7" w:rsidP="00D809C4">
      <w:pPr>
        <w:jc w:val="both"/>
        <w:rPr>
          <w:rFonts w:ascii="Comic Sans MS" w:hAnsi="Comic Sans MS"/>
          <w:sz w:val="28"/>
          <w:szCs w:val="28"/>
        </w:rPr>
      </w:pPr>
      <w:r w:rsidRPr="00C3270A">
        <w:rPr>
          <w:rFonts w:ascii="Comic Sans MS" w:hAnsi="Comic Sans MS"/>
          <w:sz w:val="28"/>
          <w:szCs w:val="28"/>
        </w:rPr>
        <w:t>It</w:t>
      </w:r>
      <w:r>
        <w:rPr>
          <w:rFonts w:ascii="Comic Sans MS" w:hAnsi="Comic Sans MS"/>
          <w:sz w:val="28"/>
          <w:szCs w:val="28"/>
        </w:rPr>
        <w:t xml:space="preserve"> </w:t>
      </w:r>
      <w:r w:rsidRPr="00C3270A">
        <w:rPr>
          <w:rFonts w:ascii="Comic Sans MS" w:hAnsi="Comic Sans MS"/>
          <w:sz w:val="28"/>
          <w:szCs w:val="28"/>
        </w:rPr>
        <w:t xml:space="preserve">is rather </w:t>
      </w:r>
      <w:r>
        <w:rPr>
          <w:rFonts w:ascii="Comic Sans MS" w:hAnsi="Comic Sans MS"/>
          <w:sz w:val="28"/>
          <w:szCs w:val="28"/>
        </w:rPr>
        <w:t xml:space="preserve">strange </w:t>
      </w:r>
      <w:r w:rsidRPr="00C3270A">
        <w:rPr>
          <w:rFonts w:ascii="Comic Sans MS" w:hAnsi="Comic Sans MS"/>
          <w:sz w:val="28"/>
          <w:szCs w:val="28"/>
        </w:rPr>
        <w:t xml:space="preserve">that the EU is willing to </w:t>
      </w:r>
      <w:r w:rsidRPr="00C3270A">
        <w:rPr>
          <w:rFonts w:ascii="Comic Sans MS" w:hAnsi="Comic Sans MS"/>
          <w:i/>
          <w:sz w:val="28"/>
          <w:szCs w:val="28"/>
        </w:rPr>
        <w:t xml:space="preserve">help </w:t>
      </w:r>
      <w:r w:rsidRPr="00C3270A">
        <w:rPr>
          <w:rFonts w:ascii="Comic Sans MS" w:hAnsi="Comic Sans MS"/>
          <w:sz w:val="28"/>
          <w:szCs w:val="28"/>
        </w:rPr>
        <w:t xml:space="preserve">those countries that commit to embracing core universal values on human, </w:t>
      </w:r>
      <w:proofErr w:type="spellStart"/>
      <w:r w:rsidRPr="00C3270A">
        <w:rPr>
          <w:rFonts w:ascii="Comic Sans MS" w:hAnsi="Comic Sans MS"/>
          <w:sz w:val="28"/>
          <w:szCs w:val="28"/>
        </w:rPr>
        <w:t>labour</w:t>
      </w:r>
      <w:proofErr w:type="spellEnd"/>
      <w:r w:rsidRPr="00C3270A">
        <w:rPr>
          <w:rFonts w:ascii="Comic Sans MS" w:hAnsi="Comic Sans MS"/>
          <w:sz w:val="28"/>
          <w:szCs w:val="28"/>
        </w:rPr>
        <w:t xml:space="preserve"> rights, environment and governance </w:t>
      </w:r>
      <w:r w:rsidRPr="00D809C4">
        <w:rPr>
          <w:rFonts w:ascii="Comic Sans MS" w:hAnsi="Comic Sans MS"/>
          <w:sz w:val="28"/>
          <w:szCs w:val="28"/>
        </w:rPr>
        <w:t>assume</w:t>
      </w:r>
      <w:r w:rsidRPr="00C3270A">
        <w:rPr>
          <w:rFonts w:ascii="Comic Sans MS" w:hAnsi="Comic Sans MS"/>
          <w:sz w:val="28"/>
          <w:szCs w:val="28"/>
        </w:rPr>
        <w:t xml:space="preserve"> the special burdens and responsibilities resulting from the ratification of core international conventions on human and </w:t>
      </w:r>
      <w:proofErr w:type="spellStart"/>
      <w:r w:rsidRPr="00C3270A">
        <w:rPr>
          <w:rFonts w:ascii="Comic Sans MS" w:hAnsi="Comic Sans MS"/>
          <w:sz w:val="28"/>
          <w:szCs w:val="28"/>
        </w:rPr>
        <w:t>labour</w:t>
      </w:r>
      <w:proofErr w:type="spellEnd"/>
      <w:r w:rsidRPr="00C3270A">
        <w:rPr>
          <w:rFonts w:ascii="Comic Sans MS" w:hAnsi="Comic Sans MS"/>
          <w:sz w:val="28"/>
          <w:szCs w:val="28"/>
        </w:rPr>
        <w:t xml:space="preserve"> rights, environmental protection and good governance</w:t>
      </w:r>
      <w:r>
        <w:rPr>
          <w:rFonts w:ascii="Comic Sans MS" w:hAnsi="Comic Sans MS"/>
          <w:sz w:val="28"/>
          <w:szCs w:val="28"/>
        </w:rPr>
        <w:t>,</w:t>
      </w:r>
      <w:r w:rsidRPr="00C3270A">
        <w:rPr>
          <w:rFonts w:ascii="Comic Sans MS" w:hAnsi="Comic Sans MS"/>
          <w:sz w:val="28"/>
          <w:szCs w:val="28"/>
        </w:rPr>
        <w:t xml:space="preserve"> as well as from their effective implementation.</w:t>
      </w:r>
      <w:r>
        <w:rPr>
          <w:rStyle w:val="FootnoteReference"/>
          <w:rFonts w:ascii="Comic Sans MS" w:hAnsi="Comic Sans MS"/>
          <w:sz w:val="28"/>
          <w:szCs w:val="28"/>
        </w:rPr>
        <w:footnoteReference w:id="58"/>
      </w:r>
      <w:r w:rsidRPr="00C3270A">
        <w:rPr>
          <w:rFonts w:ascii="Comic Sans MS" w:hAnsi="Comic Sans MS"/>
          <w:sz w:val="28"/>
          <w:szCs w:val="28"/>
        </w:rPr>
        <w:t xml:space="preserve"> What is not in doubt is that these countries would </w:t>
      </w:r>
      <w:r>
        <w:rPr>
          <w:rFonts w:ascii="Comic Sans MS" w:hAnsi="Comic Sans MS"/>
          <w:sz w:val="28"/>
          <w:szCs w:val="28"/>
        </w:rPr>
        <w:t xml:space="preserve">hardly ever </w:t>
      </w:r>
      <w:r w:rsidRPr="00C3270A">
        <w:rPr>
          <w:rFonts w:ascii="Comic Sans MS" w:hAnsi="Comic Sans MS"/>
          <w:sz w:val="28"/>
          <w:szCs w:val="28"/>
        </w:rPr>
        <w:t xml:space="preserve">willingly assume </w:t>
      </w:r>
      <w:r>
        <w:rPr>
          <w:rFonts w:ascii="Comic Sans MS" w:hAnsi="Comic Sans MS"/>
          <w:sz w:val="28"/>
          <w:szCs w:val="28"/>
        </w:rPr>
        <w:t xml:space="preserve">most of </w:t>
      </w:r>
      <w:r w:rsidRPr="00C3270A">
        <w:rPr>
          <w:rFonts w:ascii="Comic Sans MS" w:hAnsi="Comic Sans MS"/>
          <w:sz w:val="28"/>
          <w:szCs w:val="28"/>
        </w:rPr>
        <w:t xml:space="preserve">these ‘special burdens and responsibilities’ resulting from the ratification of </w:t>
      </w:r>
      <w:r>
        <w:rPr>
          <w:rFonts w:ascii="Comic Sans MS" w:hAnsi="Comic Sans MS"/>
          <w:sz w:val="28"/>
          <w:szCs w:val="28"/>
        </w:rPr>
        <w:t xml:space="preserve">27 </w:t>
      </w:r>
      <w:r w:rsidRPr="00C3270A">
        <w:rPr>
          <w:rFonts w:ascii="Comic Sans MS" w:hAnsi="Comic Sans MS"/>
          <w:sz w:val="28"/>
          <w:szCs w:val="28"/>
        </w:rPr>
        <w:t>core international conventions</w:t>
      </w:r>
      <w:r>
        <w:rPr>
          <w:rFonts w:ascii="Comic Sans MS" w:hAnsi="Comic Sans MS"/>
          <w:sz w:val="28"/>
          <w:szCs w:val="28"/>
        </w:rPr>
        <w:t xml:space="preserve"> </w:t>
      </w:r>
      <w:r w:rsidRPr="00C3270A">
        <w:rPr>
          <w:rFonts w:ascii="Comic Sans MS" w:hAnsi="Comic Sans MS"/>
          <w:sz w:val="28"/>
          <w:szCs w:val="28"/>
        </w:rPr>
        <w:t>if it were not for the enticement of benefiting from the GSP+ scheme. In fact, it is known that most countries ratified conventions around the dates required by GSP+ conditionality and that, in some instances, GSP+ obligations acted as the sole motivation for ratification.</w:t>
      </w:r>
      <w:r w:rsidRPr="00C3270A">
        <w:rPr>
          <w:rStyle w:val="FootnoteReference"/>
          <w:rFonts w:ascii="Comic Sans MS" w:hAnsi="Comic Sans MS"/>
          <w:sz w:val="28"/>
          <w:szCs w:val="28"/>
        </w:rPr>
        <w:footnoteReference w:id="59"/>
      </w:r>
      <w:r w:rsidRPr="00C3270A">
        <w:rPr>
          <w:rFonts w:ascii="Comic Sans MS" w:hAnsi="Comic Sans MS"/>
          <w:sz w:val="28"/>
          <w:szCs w:val="28"/>
        </w:rPr>
        <w:t xml:space="preserve"> </w:t>
      </w:r>
      <w:r>
        <w:rPr>
          <w:rFonts w:ascii="Comic Sans MS" w:hAnsi="Comic Sans MS"/>
          <w:sz w:val="28"/>
          <w:szCs w:val="28"/>
        </w:rPr>
        <w:t xml:space="preserve">It is also known that GSP+ beneficiaries hardly willingly commit to these conventions’ ‘effective implementation.’ </w:t>
      </w:r>
      <w:r w:rsidRPr="00C3270A">
        <w:rPr>
          <w:rFonts w:ascii="Comic Sans MS" w:hAnsi="Comic Sans MS"/>
          <w:sz w:val="28"/>
          <w:szCs w:val="28"/>
        </w:rPr>
        <w:t xml:space="preserve">While there is some evidence that the GSP+ scheme may have a positive impact on the ratification of given conventions, the evidence that there is actual active implementation of the relevant conventions is much </w:t>
      </w:r>
      <w:r w:rsidRPr="00C3270A">
        <w:rPr>
          <w:rFonts w:ascii="Comic Sans MS" w:hAnsi="Comic Sans MS"/>
          <w:sz w:val="28"/>
          <w:szCs w:val="28"/>
        </w:rPr>
        <w:lastRenderedPageBreak/>
        <w:t>weaker.</w:t>
      </w:r>
      <w:r>
        <w:rPr>
          <w:rStyle w:val="FootnoteReference"/>
          <w:rFonts w:ascii="Comic Sans MS" w:hAnsi="Comic Sans MS"/>
          <w:sz w:val="28"/>
          <w:szCs w:val="28"/>
        </w:rPr>
        <w:footnoteReference w:id="60"/>
      </w:r>
      <w:r w:rsidRPr="00C3270A">
        <w:rPr>
          <w:rFonts w:ascii="Comic Sans MS" w:hAnsi="Comic Sans MS"/>
          <w:sz w:val="28"/>
          <w:szCs w:val="28"/>
        </w:rPr>
        <w:t xml:space="preserve"> The case studies appear to suggest that countries may ratify in order to meet the minimum requirement but then do much less to implement those conventions.</w:t>
      </w:r>
      <w:r>
        <w:rPr>
          <w:rStyle w:val="FootnoteReference"/>
          <w:rFonts w:ascii="Comic Sans MS" w:hAnsi="Comic Sans MS"/>
          <w:sz w:val="28"/>
          <w:szCs w:val="28"/>
        </w:rPr>
        <w:footnoteReference w:id="61"/>
      </w:r>
      <w:r>
        <w:rPr>
          <w:sz w:val="22"/>
          <w:szCs w:val="22"/>
        </w:rPr>
        <w:t xml:space="preserve"> </w:t>
      </w:r>
    </w:p>
    <w:p w:rsidR="002B60B7" w:rsidRDefault="002B60B7" w:rsidP="00A3396D">
      <w:pPr>
        <w:autoSpaceDE w:val="0"/>
        <w:autoSpaceDN w:val="0"/>
        <w:adjustRightInd w:val="0"/>
        <w:jc w:val="both"/>
        <w:rPr>
          <w:rFonts w:ascii="Comic Sans MS" w:hAnsi="Comic Sans MS"/>
          <w:sz w:val="28"/>
          <w:szCs w:val="28"/>
        </w:rPr>
      </w:pPr>
    </w:p>
    <w:p w:rsidR="002B60B7" w:rsidRDefault="002B60B7" w:rsidP="00C3270A">
      <w:pPr>
        <w:autoSpaceDE w:val="0"/>
        <w:autoSpaceDN w:val="0"/>
        <w:adjustRightInd w:val="0"/>
        <w:jc w:val="both"/>
        <w:rPr>
          <w:rFonts w:ascii="Comic Sans MS" w:hAnsi="Comic Sans MS"/>
          <w:sz w:val="28"/>
          <w:szCs w:val="28"/>
        </w:rPr>
      </w:pPr>
      <w:r>
        <w:rPr>
          <w:rFonts w:ascii="Comic Sans MS" w:hAnsi="Comic Sans MS"/>
          <w:sz w:val="28"/>
          <w:szCs w:val="28"/>
        </w:rPr>
        <w:t>The EC GSP scheme proposal places t</w:t>
      </w:r>
      <w:r w:rsidRPr="00FD755D">
        <w:rPr>
          <w:rFonts w:ascii="Comic Sans MS" w:hAnsi="Comic Sans MS"/>
          <w:sz w:val="28"/>
          <w:szCs w:val="28"/>
        </w:rPr>
        <w:t xml:space="preserve">he burden of proof for compliance with its obligations resulting from the binding </w:t>
      </w:r>
      <w:r>
        <w:rPr>
          <w:rFonts w:ascii="Comic Sans MS" w:hAnsi="Comic Sans MS"/>
          <w:sz w:val="28"/>
          <w:szCs w:val="28"/>
        </w:rPr>
        <w:t xml:space="preserve">convention </w:t>
      </w:r>
      <w:r w:rsidRPr="00FD755D">
        <w:rPr>
          <w:rFonts w:ascii="Comic Sans MS" w:hAnsi="Comic Sans MS"/>
          <w:sz w:val="28"/>
          <w:szCs w:val="28"/>
        </w:rPr>
        <w:t>undertakings</w:t>
      </w:r>
      <w:r w:rsidRPr="00FD755D">
        <w:rPr>
          <w:rStyle w:val="FootnoteReference"/>
          <w:rFonts w:ascii="Comic Sans MS" w:hAnsi="Comic Sans MS"/>
          <w:sz w:val="28"/>
          <w:szCs w:val="28"/>
        </w:rPr>
        <w:footnoteReference w:id="62"/>
      </w:r>
      <w:r w:rsidRPr="00FD755D">
        <w:rPr>
          <w:rFonts w:ascii="Comic Sans MS" w:hAnsi="Comic Sans MS"/>
          <w:sz w:val="28"/>
          <w:szCs w:val="28"/>
        </w:rPr>
        <w:t xml:space="preserve"> on the GSP+ beneficiary country.</w:t>
      </w:r>
      <w:r w:rsidRPr="00FD755D">
        <w:rPr>
          <w:rStyle w:val="FootnoteReference"/>
          <w:rFonts w:ascii="Comic Sans MS" w:hAnsi="Comic Sans MS"/>
          <w:sz w:val="28"/>
          <w:szCs w:val="28"/>
        </w:rPr>
        <w:footnoteReference w:id="63"/>
      </w:r>
      <w:r w:rsidRPr="00FD755D">
        <w:rPr>
          <w:rFonts w:ascii="Comic Sans MS" w:hAnsi="Comic Sans MS"/>
          <w:sz w:val="28"/>
          <w:szCs w:val="28"/>
        </w:rPr>
        <w:t xml:space="preserve">  In other words, not only are these countries </w:t>
      </w:r>
      <w:r>
        <w:rPr>
          <w:rFonts w:ascii="Comic Sans MS" w:hAnsi="Comic Sans MS"/>
          <w:sz w:val="28"/>
          <w:szCs w:val="28"/>
        </w:rPr>
        <w:t>enticed and coerced in</w:t>
      </w:r>
      <w:r w:rsidRPr="00FD755D">
        <w:rPr>
          <w:rFonts w:ascii="Comic Sans MS" w:hAnsi="Comic Sans MS"/>
          <w:sz w:val="28"/>
          <w:szCs w:val="28"/>
        </w:rPr>
        <w:t>to assum</w:t>
      </w:r>
      <w:r>
        <w:rPr>
          <w:rFonts w:ascii="Comic Sans MS" w:hAnsi="Comic Sans MS"/>
          <w:sz w:val="28"/>
          <w:szCs w:val="28"/>
        </w:rPr>
        <w:t>ing</w:t>
      </w:r>
      <w:r w:rsidRPr="00FD755D">
        <w:rPr>
          <w:rFonts w:ascii="Comic Sans MS" w:hAnsi="Comic Sans MS"/>
          <w:sz w:val="28"/>
          <w:szCs w:val="28"/>
        </w:rPr>
        <w:t xml:space="preserve"> the ‘special burdens’ and responsibilities resulting from the ratification of core international conventions on human and </w:t>
      </w:r>
      <w:proofErr w:type="spellStart"/>
      <w:r w:rsidRPr="00FD755D">
        <w:rPr>
          <w:rFonts w:ascii="Comic Sans MS" w:hAnsi="Comic Sans MS"/>
          <w:sz w:val="28"/>
          <w:szCs w:val="28"/>
        </w:rPr>
        <w:t>labour</w:t>
      </w:r>
      <w:proofErr w:type="spellEnd"/>
      <w:r w:rsidRPr="00FD755D">
        <w:rPr>
          <w:rFonts w:ascii="Comic Sans MS" w:hAnsi="Comic Sans MS"/>
          <w:sz w:val="28"/>
          <w:szCs w:val="28"/>
        </w:rPr>
        <w:t xml:space="preserve"> rights, environmental protection and good governance, but they are expected as well to carry the special burden and responsibility of proving that they are doing that which they never willingly agreed to do.</w:t>
      </w:r>
      <w:r>
        <w:rPr>
          <w:rFonts w:ascii="Comic Sans MS" w:hAnsi="Comic Sans MS"/>
          <w:sz w:val="28"/>
          <w:szCs w:val="28"/>
        </w:rPr>
        <w:t xml:space="preserve"> </w:t>
      </w:r>
    </w:p>
    <w:p w:rsidR="002B60B7" w:rsidRPr="00FD755D" w:rsidRDefault="002B60B7" w:rsidP="00FD755D">
      <w:pPr>
        <w:autoSpaceDE w:val="0"/>
        <w:autoSpaceDN w:val="0"/>
        <w:adjustRightInd w:val="0"/>
        <w:jc w:val="both"/>
        <w:rPr>
          <w:rFonts w:ascii="Comic Sans MS" w:hAnsi="Comic Sans MS"/>
          <w:sz w:val="28"/>
          <w:szCs w:val="28"/>
        </w:rPr>
      </w:pPr>
    </w:p>
    <w:p w:rsidR="002B60B7" w:rsidRPr="00E06B45" w:rsidRDefault="002B60B7" w:rsidP="007B7E92">
      <w:pPr>
        <w:pStyle w:val="Default"/>
        <w:jc w:val="both"/>
        <w:rPr>
          <w:rFonts w:ascii="Comic Sans MS" w:hAnsi="Comic Sans MS"/>
          <w:sz w:val="28"/>
          <w:szCs w:val="28"/>
        </w:rPr>
      </w:pPr>
      <w:r w:rsidRPr="007B7E92">
        <w:rPr>
          <w:rFonts w:ascii="Comic Sans MS" w:hAnsi="Comic Sans MS"/>
          <w:sz w:val="28"/>
          <w:szCs w:val="28"/>
        </w:rPr>
        <w:t xml:space="preserve">The underlying idea of the GSP+ scheme is that although the effective implementation of conventions in these spheres may be costly for developing countries, the benefits of GSP+ would compensate for and outweigh such costs. </w:t>
      </w:r>
      <w:r>
        <w:rPr>
          <w:rFonts w:ascii="Comic Sans MS" w:hAnsi="Comic Sans MS"/>
          <w:sz w:val="28"/>
          <w:szCs w:val="28"/>
        </w:rPr>
        <w:t>Although t</w:t>
      </w:r>
      <w:r w:rsidRPr="007B7E92">
        <w:rPr>
          <w:rFonts w:ascii="Comic Sans MS" w:hAnsi="Comic Sans MS"/>
          <w:sz w:val="28"/>
          <w:szCs w:val="28"/>
        </w:rPr>
        <w:t xml:space="preserve">he CARIS Report was unable to </w:t>
      </w:r>
      <w:r w:rsidRPr="007B7E92">
        <w:rPr>
          <w:rFonts w:ascii="Comic Sans MS" w:hAnsi="Comic Sans MS" w:cs="Times New Roman"/>
          <w:color w:val="auto"/>
          <w:sz w:val="28"/>
          <w:szCs w:val="28"/>
        </w:rPr>
        <w:t>gather evidence for a cost-benefit analysis of the implementation of the conventions</w:t>
      </w:r>
      <w:r>
        <w:rPr>
          <w:rFonts w:ascii="Comic Sans MS" w:hAnsi="Comic Sans MS" w:cs="Times New Roman"/>
          <w:color w:val="auto"/>
          <w:sz w:val="28"/>
          <w:szCs w:val="28"/>
        </w:rPr>
        <w:t>,</w:t>
      </w:r>
      <w:r w:rsidRPr="007B7E92">
        <w:rPr>
          <w:rStyle w:val="FootnoteReference"/>
          <w:rFonts w:ascii="Comic Sans MS" w:hAnsi="Comic Sans MS"/>
          <w:color w:val="auto"/>
          <w:sz w:val="28"/>
          <w:szCs w:val="28"/>
        </w:rPr>
        <w:footnoteReference w:id="64"/>
      </w:r>
      <w:r w:rsidRPr="007B7E92">
        <w:rPr>
          <w:rFonts w:ascii="Comic Sans MS" w:hAnsi="Comic Sans MS" w:cs="Times New Roman"/>
          <w:color w:val="auto"/>
          <w:sz w:val="28"/>
          <w:szCs w:val="28"/>
        </w:rPr>
        <w:t xml:space="preserve"> </w:t>
      </w:r>
      <w:r>
        <w:rPr>
          <w:rFonts w:ascii="Comic Sans MS" w:hAnsi="Comic Sans MS" w:cs="Times New Roman"/>
          <w:color w:val="auto"/>
          <w:sz w:val="28"/>
          <w:szCs w:val="28"/>
        </w:rPr>
        <w:t xml:space="preserve">it </w:t>
      </w:r>
      <w:r w:rsidRPr="007B7E92">
        <w:rPr>
          <w:rFonts w:ascii="Comic Sans MS" w:hAnsi="Comic Sans MS"/>
          <w:sz w:val="28"/>
          <w:szCs w:val="28"/>
        </w:rPr>
        <w:t xml:space="preserve">tells us that the overview of the existing relevant research indicates that there is still little consensus on the effectiveness of human rights, </w:t>
      </w:r>
      <w:proofErr w:type="spellStart"/>
      <w:r w:rsidRPr="007B7E92">
        <w:rPr>
          <w:rFonts w:ascii="Comic Sans MS" w:hAnsi="Comic Sans MS"/>
          <w:sz w:val="28"/>
          <w:szCs w:val="28"/>
        </w:rPr>
        <w:t>labour</w:t>
      </w:r>
      <w:proofErr w:type="spellEnd"/>
      <w:r w:rsidRPr="007B7E92">
        <w:rPr>
          <w:rFonts w:ascii="Comic Sans MS" w:hAnsi="Comic Sans MS"/>
          <w:sz w:val="28"/>
          <w:szCs w:val="28"/>
        </w:rPr>
        <w:t xml:space="preserve"> standards, governance and environmental provisions in trade agreements and unilateral preferences.</w:t>
      </w:r>
      <w:r w:rsidRPr="007B7E92">
        <w:rPr>
          <w:rStyle w:val="FootnoteReference"/>
          <w:rFonts w:ascii="Comic Sans MS" w:hAnsi="Comic Sans MS" w:cs="Arial"/>
          <w:sz w:val="28"/>
          <w:szCs w:val="28"/>
        </w:rPr>
        <w:footnoteReference w:id="65"/>
      </w:r>
      <w:r w:rsidRPr="007B7E92">
        <w:rPr>
          <w:rFonts w:ascii="Comic Sans MS" w:hAnsi="Comic Sans MS"/>
          <w:sz w:val="28"/>
          <w:szCs w:val="28"/>
        </w:rPr>
        <w:t xml:space="preserve"> </w:t>
      </w:r>
      <w:r>
        <w:rPr>
          <w:rFonts w:ascii="Comic Sans MS" w:hAnsi="Comic Sans MS"/>
          <w:sz w:val="28"/>
          <w:szCs w:val="28"/>
        </w:rPr>
        <w:t xml:space="preserve">One could go further and state that there is </w:t>
      </w:r>
      <w:r w:rsidRPr="00E06B45">
        <w:rPr>
          <w:rFonts w:ascii="Comic Sans MS" w:hAnsi="Comic Sans MS"/>
          <w:i/>
          <w:sz w:val="28"/>
          <w:szCs w:val="28"/>
        </w:rPr>
        <w:t>no</w:t>
      </w:r>
      <w:r>
        <w:rPr>
          <w:rFonts w:ascii="Comic Sans MS" w:hAnsi="Comic Sans MS"/>
          <w:i/>
          <w:sz w:val="28"/>
          <w:szCs w:val="28"/>
        </w:rPr>
        <w:t xml:space="preserve"> </w:t>
      </w:r>
      <w:r>
        <w:rPr>
          <w:rFonts w:ascii="Comic Sans MS" w:hAnsi="Comic Sans MS"/>
          <w:sz w:val="28"/>
          <w:szCs w:val="28"/>
        </w:rPr>
        <w:t>consensus at all on this issue, given the very few number of countries designated over the years for GSP+.</w:t>
      </w:r>
    </w:p>
    <w:p w:rsidR="002B60B7" w:rsidRPr="007B7E92" w:rsidRDefault="002B60B7" w:rsidP="007B7E92">
      <w:pPr>
        <w:pStyle w:val="Default"/>
        <w:jc w:val="both"/>
        <w:rPr>
          <w:rFonts w:ascii="Comic Sans MS" w:hAnsi="Comic Sans MS"/>
          <w:sz w:val="28"/>
          <w:szCs w:val="28"/>
        </w:rPr>
      </w:pPr>
      <w:r w:rsidRPr="007B7E92">
        <w:rPr>
          <w:rFonts w:ascii="Comic Sans MS" w:hAnsi="Comic Sans MS"/>
          <w:sz w:val="28"/>
          <w:szCs w:val="28"/>
        </w:rPr>
        <w:lastRenderedPageBreak/>
        <w:t>In research findings relating to the three countries benefiting from GSP+, the CARIS Report stated that the GSP+ conditionality is believed to have had a very limited impact in encouraging increased implementation and compliance with convention mandates</w:t>
      </w:r>
      <w:r>
        <w:rPr>
          <w:rFonts w:ascii="Comic Sans MS" w:hAnsi="Comic Sans MS"/>
          <w:sz w:val="28"/>
          <w:szCs w:val="28"/>
        </w:rPr>
        <w:t>.</w:t>
      </w:r>
      <w:r w:rsidRPr="007B7E92">
        <w:rPr>
          <w:rFonts w:ascii="Comic Sans MS" w:hAnsi="Comic Sans MS"/>
          <w:sz w:val="28"/>
          <w:szCs w:val="28"/>
        </w:rPr>
        <w:t xml:space="preserve"> Further, k</w:t>
      </w:r>
      <w:r>
        <w:rPr>
          <w:rFonts w:ascii="Comic Sans MS" w:hAnsi="Comic Sans MS"/>
          <w:sz w:val="28"/>
          <w:szCs w:val="28"/>
        </w:rPr>
        <w:t>nowledge of the details of</w:t>
      </w:r>
      <w:r w:rsidRPr="007B7E92">
        <w:rPr>
          <w:rFonts w:ascii="Comic Sans MS" w:hAnsi="Comic Sans MS"/>
          <w:sz w:val="28"/>
          <w:szCs w:val="28"/>
        </w:rPr>
        <w:t xml:space="preserve"> the GSP+ programme appears very limited among the general public; domestic political dynamics prove to be very important in determining relative progress in the various fields covered by the conventions and; enforcement of existing legislation is much more difficult than passing legislation, related to limited resources and administrative capacity, among other factors.</w:t>
      </w:r>
    </w:p>
    <w:p w:rsidR="002B60B7" w:rsidRPr="00390A93" w:rsidRDefault="002B60B7" w:rsidP="00390A93">
      <w:pPr>
        <w:jc w:val="both"/>
        <w:rPr>
          <w:rFonts w:ascii="Comic Sans MS" w:hAnsi="Comic Sans MS"/>
          <w:sz w:val="28"/>
          <w:szCs w:val="28"/>
        </w:rPr>
      </w:pPr>
    </w:p>
    <w:p w:rsidR="002B60B7" w:rsidRPr="00D809C4" w:rsidRDefault="002B60B7" w:rsidP="005714E5">
      <w:pPr>
        <w:pStyle w:val="Default"/>
        <w:jc w:val="both"/>
        <w:rPr>
          <w:rFonts w:ascii="Comic Sans MS" w:hAnsi="Comic Sans MS"/>
          <w:sz w:val="28"/>
          <w:szCs w:val="28"/>
        </w:rPr>
      </w:pPr>
      <w:r w:rsidRPr="00D809C4">
        <w:rPr>
          <w:rFonts w:ascii="Comic Sans MS" w:hAnsi="Comic Sans MS"/>
          <w:sz w:val="28"/>
          <w:szCs w:val="28"/>
        </w:rPr>
        <w:t>This is quite some indictment</w:t>
      </w:r>
      <w:r>
        <w:rPr>
          <w:rFonts w:ascii="Comic Sans MS" w:hAnsi="Comic Sans MS"/>
          <w:sz w:val="28"/>
          <w:szCs w:val="28"/>
        </w:rPr>
        <w:t>, in the CARIS Report,</w:t>
      </w:r>
      <w:r w:rsidRPr="00D809C4">
        <w:rPr>
          <w:rFonts w:ascii="Comic Sans MS" w:hAnsi="Comic Sans MS"/>
          <w:sz w:val="28"/>
          <w:szCs w:val="28"/>
        </w:rPr>
        <w:t xml:space="preserve"> of the GSP+ scheme.</w:t>
      </w:r>
    </w:p>
    <w:p w:rsidR="002B60B7" w:rsidRDefault="002B60B7" w:rsidP="005714E5">
      <w:pPr>
        <w:pStyle w:val="Default"/>
        <w:jc w:val="both"/>
      </w:pPr>
    </w:p>
    <w:p w:rsidR="002B60B7" w:rsidRPr="005714E5" w:rsidRDefault="002B60B7" w:rsidP="005714E5">
      <w:pPr>
        <w:pStyle w:val="Default"/>
        <w:jc w:val="both"/>
        <w:rPr>
          <w:rFonts w:ascii="Comic Sans MS" w:hAnsi="Comic Sans MS" w:cs="Times New Roman"/>
          <w:color w:val="auto"/>
          <w:sz w:val="28"/>
          <w:szCs w:val="28"/>
        </w:rPr>
      </w:pPr>
      <w:r w:rsidRPr="00390A93">
        <w:t xml:space="preserve"> </w:t>
      </w:r>
    </w:p>
    <w:p w:rsidR="002B60B7" w:rsidRDefault="002B60B7" w:rsidP="00286C98">
      <w:pPr>
        <w:pStyle w:val="Heading3"/>
        <w:numPr>
          <w:ilvl w:val="1"/>
          <w:numId w:val="3"/>
        </w:numPr>
        <w:rPr>
          <w:rFonts w:ascii="Comic Sans MS" w:hAnsi="Comic Sans MS"/>
          <w:bCs/>
          <w:sz w:val="28"/>
        </w:rPr>
      </w:pPr>
      <w:bookmarkStart w:id="13" w:name="_Toc295486241"/>
      <w:r w:rsidRPr="0045225A">
        <w:rPr>
          <w:rFonts w:ascii="Comic Sans MS" w:hAnsi="Comic Sans MS"/>
          <w:bCs/>
          <w:sz w:val="28"/>
        </w:rPr>
        <w:t>Some Concluding Thoughts</w:t>
      </w:r>
      <w:bookmarkEnd w:id="13"/>
    </w:p>
    <w:p w:rsidR="002B60B7" w:rsidRPr="00846D96" w:rsidRDefault="002B60B7" w:rsidP="00846D96">
      <w:pPr>
        <w:pStyle w:val="Default"/>
        <w:jc w:val="both"/>
        <w:rPr>
          <w:rFonts w:ascii="Comic Sans MS" w:hAnsi="Comic Sans MS"/>
          <w:sz w:val="28"/>
        </w:rPr>
      </w:pPr>
      <w:r>
        <w:rPr>
          <w:rFonts w:ascii="Comic Sans MS" w:hAnsi="Comic Sans MS"/>
          <w:sz w:val="28"/>
        </w:rPr>
        <w:t>The EC</w:t>
      </w:r>
      <w:r w:rsidRPr="0058681E">
        <w:rPr>
          <w:rFonts w:ascii="Comic Sans MS" w:hAnsi="Comic Sans MS"/>
          <w:sz w:val="28"/>
        </w:rPr>
        <w:t xml:space="preserve"> GSP scheme proposal appears an attempt by the EU to do two things: first, solve in its </w:t>
      </w:r>
      <w:proofErr w:type="spellStart"/>
      <w:r w:rsidRPr="0058681E">
        <w:rPr>
          <w:rFonts w:ascii="Comic Sans MS" w:hAnsi="Comic Sans MS"/>
          <w:sz w:val="28"/>
        </w:rPr>
        <w:t>favour</w:t>
      </w:r>
      <w:proofErr w:type="spellEnd"/>
      <w:r w:rsidRPr="0058681E">
        <w:rPr>
          <w:rFonts w:ascii="Comic Sans MS" w:hAnsi="Comic Sans MS"/>
          <w:sz w:val="28"/>
        </w:rPr>
        <w:t xml:space="preserve"> matters still under discussion at the WTO and, secondly, </w:t>
      </w:r>
      <w:r>
        <w:rPr>
          <w:rFonts w:ascii="Comic Sans MS" w:hAnsi="Comic Sans MS"/>
          <w:sz w:val="28"/>
        </w:rPr>
        <w:t xml:space="preserve">coerce </w:t>
      </w:r>
      <w:r w:rsidRPr="0058681E">
        <w:rPr>
          <w:rFonts w:ascii="Comic Sans MS" w:hAnsi="Comic Sans MS"/>
          <w:sz w:val="28"/>
        </w:rPr>
        <w:t xml:space="preserve">the ACP countries into </w:t>
      </w:r>
      <w:r>
        <w:rPr>
          <w:rFonts w:ascii="Comic Sans MS" w:hAnsi="Comic Sans MS"/>
          <w:sz w:val="28"/>
        </w:rPr>
        <w:t xml:space="preserve">concluding and </w:t>
      </w:r>
      <w:r w:rsidRPr="0058681E">
        <w:rPr>
          <w:rFonts w:ascii="Comic Sans MS" w:hAnsi="Comic Sans MS"/>
          <w:sz w:val="28"/>
        </w:rPr>
        <w:t xml:space="preserve">signing the Economic Partnership Agreements, (EPAs). </w:t>
      </w:r>
    </w:p>
    <w:p w:rsidR="002B60B7" w:rsidRDefault="002B60B7" w:rsidP="00B503DD">
      <w:pPr>
        <w:autoSpaceDE w:val="0"/>
        <w:autoSpaceDN w:val="0"/>
        <w:adjustRightInd w:val="0"/>
        <w:jc w:val="both"/>
      </w:pPr>
    </w:p>
    <w:p w:rsidR="002B60B7" w:rsidRPr="009C5CCC" w:rsidRDefault="002B60B7" w:rsidP="009C5CCC">
      <w:pPr>
        <w:jc w:val="both"/>
        <w:rPr>
          <w:rFonts w:ascii="Comic Sans MS" w:hAnsi="Comic Sans MS"/>
          <w:sz w:val="28"/>
          <w:szCs w:val="28"/>
        </w:rPr>
      </w:pPr>
      <w:r>
        <w:rPr>
          <w:rFonts w:ascii="Comic Sans MS" w:hAnsi="Comic Sans MS"/>
          <w:sz w:val="28"/>
          <w:szCs w:val="28"/>
        </w:rPr>
        <w:t>It is common knowledge that developed countries</w:t>
      </w:r>
      <w:r w:rsidRPr="009C5CCC">
        <w:rPr>
          <w:rFonts w:ascii="Comic Sans MS" w:hAnsi="Comic Sans MS"/>
          <w:sz w:val="28"/>
          <w:szCs w:val="28"/>
        </w:rPr>
        <w:t xml:space="preserve"> </w:t>
      </w:r>
      <w:r>
        <w:rPr>
          <w:rFonts w:ascii="Comic Sans MS" w:hAnsi="Comic Sans MS"/>
          <w:sz w:val="28"/>
          <w:szCs w:val="28"/>
        </w:rPr>
        <w:t xml:space="preserve">have at the WTO been arguing for a differentiation between developing countries so that the so-called emerging economies assume greater responsibility in world trade. Developed countries would want this </w:t>
      </w:r>
      <w:r w:rsidRPr="009C5CCC">
        <w:rPr>
          <w:rFonts w:ascii="Comic Sans MS" w:hAnsi="Comic Sans MS"/>
          <w:sz w:val="28"/>
          <w:szCs w:val="28"/>
        </w:rPr>
        <w:t>differentiation so tha</w:t>
      </w:r>
      <w:r>
        <w:rPr>
          <w:rFonts w:ascii="Comic Sans MS" w:hAnsi="Comic Sans MS"/>
          <w:sz w:val="28"/>
          <w:szCs w:val="28"/>
        </w:rPr>
        <w:t>t Brazil, China and India take o</w:t>
      </w:r>
      <w:r w:rsidRPr="009C5CCC">
        <w:rPr>
          <w:rFonts w:ascii="Comic Sans MS" w:hAnsi="Comic Sans MS"/>
          <w:sz w:val="28"/>
          <w:szCs w:val="28"/>
        </w:rPr>
        <w:t xml:space="preserve">n more responsibilities than say, Chad. “China is very different from Chad, and this needs to be clearly recognized in WTO talks,” the current US Ambassador to the WTO, Michael </w:t>
      </w:r>
      <w:proofErr w:type="spellStart"/>
      <w:r w:rsidRPr="009C5CCC">
        <w:rPr>
          <w:rFonts w:ascii="Comic Sans MS" w:hAnsi="Comic Sans MS"/>
          <w:sz w:val="28"/>
          <w:szCs w:val="28"/>
        </w:rPr>
        <w:t>Punke</w:t>
      </w:r>
      <w:proofErr w:type="spellEnd"/>
      <w:r w:rsidRPr="009C5CCC">
        <w:rPr>
          <w:rFonts w:ascii="Comic Sans MS" w:hAnsi="Comic Sans MS"/>
          <w:sz w:val="28"/>
          <w:szCs w:val="28"/>
        </w:rPr>
        <w:t xml:space="preserve">, </w:t>
      </w:r>
      <w:r w:rsidRPr="009C5CCC">
        <w:rPr>
          <w:rFonts w:ascii="Comic Sans MS" w:hAnsi="Comic Sans MS"/>
          <w:sz w:val="28"/>
          <w:szCs w:val="28"/>
        </w:rPr>
        <w:lastRenderedPageBreak/>
        <w:t>said in January 2011.</w:t>
      </w:r>
      <w:r w:rsidRPr="009C5CCC">
        <w:rPr>
          <w:rStyle w:val="FootnoteReference"/>
          <w:rFonts w:ascii="Comic Sans MS" w:hAnsi="Comic Sans MS"/>
          <w:sz w:val="28"/>
          <w:szCs w:val="28"/>
        </w:rPr>
        <w:footnoteReference w:id="66"/>
      </w:r>
      <w:r w:rsidRPr="009C5CCC">
        <w:rPr>
          <w:rFonts w:ascii="Comic Sans MS" w:hAnsi="Comic Sans MS"/>
          <w:sz w:val="28"/>
          <w:szCs w:val="28"/>
        </w:rPr>
        <w:t xml:space="preserve"> Referring to India and Brazil he said; “What we’re hoping is they will step up and take up their leadership role,” </w:t>
      </w:r>
      <w:r>
        <w:rPr>
          <w:rFonts w:ascii="Comic Sans MS" w:hAnsi="Comic Sans MS"/>
          <w:sz w:val="28"/>
          <w:szCs w:val="28"/>
        </w:rPr>
        <w:t xml:space="preserve">and </w:t>
      </w:r>
      <w:r w:rsidRPr="009C5CCC">
        <w:rPr>
          <w:rFonts w:ascii="Comic Sans MS" w:hAnsi="Comic Sans MS"/>
          <w:sz w:val="28"/>
          <w:szCs w:val="28"/>
        </w:rPr>
        <w:t xml:space="preserve">added, “At the end of </w:t>
      </w:r>
      <w:r>
        <w:rPr>
          <w:rFonts w:ascii="Comic Sans MS" w:hAnsi="Comic Sans MS"/>
          <w:sz w:val="28"/>
          <w:szCs w:val="28"/>
        </w:rPr>
        <w:t>the day</w:t>
      </w:r>
      <w:r w:rsidRPr="009C5CCC">
        <w:rPr>
          <w:rFonts w:ascii="Comic Sans MS" w:hAnsi="Comic Sans MS"/>
          <w:sz w:val="28"/>
          <w:szCs w:val="28"/>
        </w:rPr>
        <w:t xml:space="preserve"> we have to ask, are the advanced developing economies ready to accept the responsibility and leadership that goes with their new roles?”</w:t>
      </w:r>
      <w:r>
        <w:rPr>
          <w:rFonts w:ascii="Comic Sans MS" w:hAnsi="Comic Sans MS"/>
          <w:sz w:val="28"/>
          <w:szCs w:val="28"/>
        </w:rPr>
        <w:t xml:space="preserve"> </w:t>
      </w:r>
      <w:r w:rsidRPr="009C5CCC">
        <w:rPr>
          <w:rFonts w:ascii="Comic Sans MS" w:hAnsi="Comic Sans MS"/>
          <w:sz w:val="28"/>
          <w:szCs w:val="28"/>
        </w:rPr>
        <w:t xml:space="preserve">A key change, Ambassador </w:t>
      </w:r>
      <w:proofErr w:type="spellStart"/>
      <w:r w:rsidRPr="009C5CCC">
        <w:rPr>
          <w:rFonts w:ascii="Comic Sans MS" w:hAnsi="Comic Sans MS"/>
          <w:sz w:val="28"/>
          <w:szCs w:val="28"/>
        </w:rPr>
        <w:t>Punke</w:t>
      </w:r>
      <w:proofErr w:type="spellEnd"/>
      <w:r w:rsidRPr="009C5CCC">
        <w:rPr>
          <w:rFonts w:ascii="Comic Sans MS" w:hAnsi="Comic Sans MS"/>
          <w:sz w:val="28"/>
          <w:szCs w:val="28"/>
        </w:rPr>
        <w:t xml:space="preserve"> argued, would be “the need to go beyond a monolithic notion of the developing world to recognize complexity.”  </w:t>
      </w:r>
      <w:r>
        <w:rPr>
          <w:rFonts w:ascii="Comic Sans MS" w:hAnsi="Comic Sans MS"/>
          <w:sz w:val="28"/>
          <w:szCs w:val="28"/>
        </w:rPr>
        <w:t xml:space="preserve">The EC appears to be advancing this argument in its GSP scheme proposal by seeking to exclude from the scheme emerging economies on some unsubstantiated basis. </w:t>
      </w:r>
    </w:p>
    <w:p w:rsidR="002B60B7" w:rsidRDefault="002B60B7" w:rsidP="009C5CCC">
      <w:pPr>
        <w:autoSpaceDE w:val="0"/>
        <w:autoSpaceDN w:val="0"/>
        <w:adjustRightInd w:val="0"/>
        <w:jc w:val="both"/>
        <w:rPr>
          <w:rFonts w:ascii="Comic Sans MS" w:hAnsi="Comic Sans MS"/>
          <w:sz w:val="28"/>
          <w:szCs w:val="28"/>
        </w:rPr>
      </w:pPr>
    </w:p>
    <w:p w:rsidR="002B60B7" w:rsidRDefault="002B60B7" w:rsidP="009C5CCC">
      <w:pPr>
        <w:autoSpaceDE w:val="0"/>
        <w:autoSpaceDN w:val="0"/>
        <w:adjustRightInd w:val="0"/>
        <w:jc w:val="both"/>
        <w:rPr>
          <w:rFonts w:ascii="Comic Sans MS" w:hAnsi="Comic Sans MS"/>
          <w:sz w:val="28"/>
          <w:szCs w:val="28"/>
        </w:rPr>
      </w:pPr>
      <w:r>
        <w:rPr>
          <w:rFonts w:ascii="Comic Sans MS" w:hAnsi="Comic Sans MS"/>
          <w:sz w:val="28"/>
          <w:szCs w:val="28"/>
        </w:rPr>
        <w:t>D</w:t>
      </w:r>
      <w:r w:rsidRPr="009246B3">
        <w:rPr>
          <w:rFonts w:ascii="Comic Sans MS" w:hAnsi="Comic Sans MS"/>
          <w:sz w:val="28"/>
          <w:szCs w:val="28"/>
        </w:rPr>
        <w:t>eveloping countries at the WTO have made it clear that they</w:t>
      </w:r>
      <w:r>
        <w:rPr>
          <w:rFonts w:ascii="Comic Sans MS" w:hAnsi="Comic Sans MS"/>
          <w:sz w:val="28"/>
          <w:szCs w:val="28"/>
        </w:rPr>
        <w:t xml:space="preserve"> do not </w:t>
      </w:r>
      <w:r w:rsidRPr="009246B3">
        <w:rPr>
          <w:rFonts w:ascii="Comic Sans MS" w:hAnsi="Comic Sans MS"/>
          <w:sz w:val="28"/>
          <w:szCs w:val="28"/>
        </w:rPr>
        <w:t xml:space="preserve">contemplate discussing </w:t>
      </w:r>
      <w:proofErr w:type="spellStart"/>
      <w:r w:rsidRPr="009246B3">
        <w:rPr>
          <w:rFonts w:ascii="Comic Sans MS" w:hAnsi="Comic Sans MS"/>
          <w:sz w:val="28"/>
          <w:szCs w:val="28"/>
        </w:rPr>
        <w:t>labour</w:t>
      </w:r>
      <w:proofErr w:type="spellEnd"/>
      <w:r w:rsidRPr="009246B3">
        <w:rPr>
          <w:rFonts w:ascii="Comic Sans MS" w:hAnsi="Comic Sans MS"/>
          <w:sz w:val="28"/>
          <w:szCs w:val="28"/>
        </w:rPr>
        <w:t xml:space="preserve"> standards; that customs controls on the export or transit of drugs should not prevent access to medicines by developing countries; that they are losing a lot of revenue by being allowed to only easily export into the EU raw materials; and that they are not the guilty </w:t>
      </w:r>
      <w:r>
        <w:rPr>
          <w:rFonts w:ascii="Comic Sans MS" w:hAnsi="Comic Sans MS"/>
          <w:sz w:val="28"/>
          <w:szCs w:val="28"/>
        </w:rPr>
        <w:t>parties in over-fishing.  The EC</w:t>
      </w:r>
      <w:r w:rsidRPr="009246B3">
        <w:rPr>
          <w:rFonts w:ascii="Comic Sans MS" w:hAnsi="Comic Sans MS"/>
          <w:sz w:val="28"/>
          <w:szCs w:val="28"/>
        </w:rPr>
        <w:t xml:space="preserve"> has made it </w:t>
      </w:r>
      <w:r>
        <w:rPr>
          <w:rFonts w:ascii="Comic Sans MS" w:hAnsi="Comic Sans MS"/>
          <w:sz w:val="28"/>
          <w:szCs w:val="28"/>
        </w:rPr>
        <w:t xml:space="preserve">equally </w:t>
      </w:r>
      <w:r w:rsidRPr="009246B3">
        <w:rPr>
          <w:rFonts w:ascii="Comic Sans MS" w:hAnsi="Comic Sans MS"/>
          <w:sz w:val="28"/>
          <w:szCs w:val="28"/>
        </w:rPr>
        <w:t xml:space="preserve">clear in the </w:t>
      </w:r>
      <w:r>
        <w:rPr>
          <w:rFonts w:ascii="Comic Sans MS" w:hAnsi="Comic Sans MS"/>
          <w:sz w:val="28"/>
          <w:szCs w:val="28"/>
        </w:rPr>
        <w:t>GSP scheme proposal that any action that is</w:t>
      </w:r>
      <w:r w:rsidRPr="009246B3">
        <w:rPr>
          <w:rFonts w:ascii="Comic Sans MS" w:hAnsi="Comic Sans MS"/>
          <w:sz w:val="28"/>
          <w:szCs w:val="28"/>
        </w:rPr>
        <w:t xml:space="preserve"> not in its </w:t>
      </w:r>
      <w:proofErr w:type="spellStart"/>
      <w:r w:rsidRPr="009246B3">
        <w:rPr>
          <w:rFonts w:ascii="Comic Sans MS" w:hAnsi="Comic Sans MS"/>
          <w:sz w:val="28"/>
          <w:szCs w:val="28"/>
        </w:rPr>
        <w:t>favour</w:t>
      </w:r>
      <w:proofErr w:type="spellEnd"/>
      <w:r w:rsidRPr="009246B3">
        <w:rPr>
          <w:rFonts w:ascii="Comic Sans MS" w:hAnsi="Comic Sans MS"/>
          <w:sz w:val="28"/>
          <w:szCs w:val="28"/>
        </w:rPr>
        <w:t xml:space="preserve"> on these issues, will be punished by the withdrawal of preferences.</w:t>
      </w:r>
      <w:r w:rsidRPr="009246B3">
        <w:rPr>
          <w:rStyle w:val="FootnoteReference"/>
          <w:rFonts w:ascii="Comic Sans MS" w:hAnsi="Comic Sans MS"/>
          <w:sz w:val="28"/>
          <w:szCs w:val="28"/>
        </w:rPr>
        <w:footnoteReference w:id="67"/>
      </w:r>
      <w:r>
        <w:rPr>
          <w:rFonts w:ascii="Comic Sans MS" w:hAnsi="Comic Sans MS"/>
          <w:sz w:val="28"/>
          <w:szCs w:val="28"/>
        </w:rPr>
        <w:t xml:space="preserve"> As could be expected, the EC could argue that this language in the GSP scheme proposal has always existed in previous EC GSP schemes. That might well be true, but it does not change the fact that the EC is taking advantage of the GSP scheme, purportedly crafted for the benefit of developing countries, to settle in its </w:t>
      </w:r>
      <w:proofErr w:type="spellStart"/>
      <w:r>
        <w:rPr>
          <w:rFonts w:ascii="Comic Sans MS" w:hAnsi="Comic Sans MS"/>
          <w:sz w:val="28"/>
          <w:szCs w:val="28"/>
        </w:rPr>
        <w:t>favour</w:t>
      </w:r>
      <w:proofErr w:type="spellEnd"/>
      <w:r>
        <w:rPr>
          <w:rFonts w:ascii="Comic Sans MS" w:hAnsi="Comic Sans MS"/>
          <w:sz w:val="28"/>
          <w:szCs w:val="28"/>
        </w:rPr>
        <w:t xml:space="preserve"> some issues still under discussion at the WTO and on which developing countries hold views divergent to the EC’s.</w:t>
      </w:r>
    </w:p>
    <w:p w:rsidR="002B60B7" w:rsidRPr="009246B3" w:rsidRDefault="002B60B7" w:rsidP="009C5CCC">
      <w:pPr>
        <w:autoSpaceDE w:val="0"/>
        <w:autoSpaceDN w:val="0"/>
        <w:adjustRightInd w:val="0"/>
        <w:jc w:val="both"/>
        <w:rPr>
          <w:rFonts w:ascii="Comic Sans MS" w:hAnsi="Comic Sans MS"/>
          <w:sz w:val="28"/>
          <w:szCs w:val="28"/>
        </w:rPr>
      </w:pPr>
      <w:r w:rsidRPr="009246B3">
        <w:rPr>
          <w:rFonts w:ascii="Comic Sans MS" w:hAnsi="Comic Sans MS"/>
          <w:sz w:val="28"/>
          <w:szCs w:val="28"/>
        </w:rPr>
        <w:t xml:space="preserve"> </w:t>
      </w:r>
    </w:p>
    <w:p w:rsidR="002B60B7" w:rsidRPr="00466E44" w:rsidRDefault="002B60B7" w:rsidP="009C5CCC">
      <w:pPr>
        <w:autoSpaceDE w:val="0"/>
        <w:autoSpaceDN w:val="0"/>
        <w:adjustRightInd w:val="0"/>
        <w:jc w:val="both"/>
        <w:rPr>
          <w:rFonts w:ascii="Comic Sans MS" w:hAnsi="Comic Sans MS" w:cs="ArialMT"/>
          <w:sz w:val="28"/>
          <w:szCs w:val="28"/>
        </w:rPr>
      </w:pPr>
      <w:r>
        <w:rPr>
          <w:rFonts w:ascii="Comic Sans MS" w:hAnsi="Comic Sans MS"/>
          <w:sz w:val="28"/>
          <w:szCs w:val="28"/>
        </w:rPr>
        <w:t xml:space="preserve">The </w:t>
      </w:r>
      <w:r w:rsidRPr="009246B3">
        <w:rPr>
          <w:rFonts w:ascii="Comic Sans MS" w:hAnsi="Comic Sans MS"/>
          <w:sz w:val="28"/>
          <w:szCs w:val="28"/>
        </w:rPr>
        <w:t>second</w:t>
      </w:r>
      <w:r>
        <w:rPr>
          <w:rFonts w:ascii="Comic Sans MS" w:hAnsi="Comic Sans MS"/>
          <w:sz w:val="28"/>
          <w:szCs w:val="28"/>
        </w:rPr>
        <w:t xml:space="preserve"> thing the EC seeks to do by the GSP scheme proposal is firmly ‘persuade’ </w:t>
      </w:r>
      <w:r w:rsidRPr="009246B3">
        <w:rPr>
          <w:rFonts w:ascii="Comic Sans MS" w:hAnsi="Comic Sans MS"/>
          <w:sz w:val="28"/>
          <w:szCs w:val="28"/>
        </w:rPr>
        <w:t xml:space="preserve">those </w:t>
      </w:r>
      <w:r>
        <w:rPr>
          <w:rFonts w:ascii="Comic Sans MS" w:hAnsi="Comic Sans MS"/>
          <w:sz w:val="28"/>
          <w:szCs w:val="28"/>
        </w:rPr>
        <w:t xml:space="preserve">doubting </w:t>
      </w:r>
      <w:r w:rsidRPr="009246B3">
        <w:rPr>
          <w:rFonts w:ascii="Comic Sans MS" w:hAnsi="Comic Sans MS"/>
          <w:sz w:val="28"/>
          <w:szCs w:val="28"/>
        </w:rPr>
        <w:t xml:space="preserve">ACP countries to </w:t>
      </w:r>
      <w:r>
        <w:rPr>
          <w:rFonts w:ascii="Comic Sans MS" w:hAnsi="Comic Sans MS"/>
          <w:sz w:val="28"/>
          <w:szCs w:val="28"/>
        </w:rPr>
        <w:t xml:space="preserve">conclude and </w:t>
      </w:r>
      <w:r w:rsidRPr="009246B3">
        <w:rPr>
          <w:rFonts w:ascii="Comic Sans MS" w:hAnsi="Comic Sans MS"/>
          <w:sz w:val="28"/>
          <w:szCs w:val="28"/>
        </w:rPr>
        <w:t>si</w:t>
      </w:r>
      <w:r>
        <w:rPr>
          <w:rFonts w:ascii="Comic Sans MS" w:hAnsi="Comic Sans MS"/>
          <w:sz w:val="28"/>
          <w:szCs w:val="28"/>
        </w:rPr>
        <w:t xml:space="preserve">gn the Economic Partnership Agreements (EPAs) by </w:t>
      </w:r>
      <w:r w:rsidRPr="009246B3">
        <w:rPr>
          <w:rFonts w:ascii="Comic Sans MS" w:hAnsi="Comic Sans MS"/>
          <w:sz w:val="28"/>
          <w:szCs w:val="28"/>
        </w:rPr>
        <w:t xml:space="preserve">making the </w:t>
      </w:r>
      <w:r w:rsidRPr="009246B3">
        <w:rPr>
          <w:rFonts w:ascii="Comic Sans MS" w:hAnsi="Comic Sans MS"/>
          <w:sz w:val="28"/>
          <w:szCs w:val="28"/>
        </w:rPr>
        <w:lastRenderedPageBreak/>
        <w:t>GSP preferences a bed of nails</w:t>
      </w:r>
      <w:r>
        <w:rPr>
          <w:rFonts w:ascii="Comic Sans MS" w:hAnsi="Comic Sans MS"/>
          <w:sz w:val="28"/>
          <w:szCs w:val="28"/>
        </w:rPr>
        <w:t xml:space="preserve">. </w:t>
      </w:r>
      <w:r w:rsidRPr="00466E44">
        <w:rPr>
          <w:rFonts w:ascii="Comic Sans MS" w:hAnsi="Comic Sans MS" w:cs="ArialMT"/>
          <w:sz w:val="28"/>
          <w:szCs w:val="28"/>
        </w:rPr>
        <w:t>Others</w:t>
      </w:r>
      <w:r>
        <w:rPr>
          <w:rStyle w:val="FootnoteReference"/>
          <w:rFonts w:ascii="Comic Sans MS" w:hAnsi="Comic Sans MS" w:cs="ArialMT"/>
          <w:sz w:val="28"/>
          <w:szCs w:val="28"/>
        </w:rPr>
        <w:footnoteReference w:id="68"/>
      </w:r>
      <w:r w:rsidRPr="00466E44">
        <w:rPr>
          <w:rFonts w:ascii="Comic Sans MS" w:hAnsi="Comic Sans MS" w:cs="ArialMT"/>
          <w:sz w:val="28"/>
          <w:szCs w:val="28"/>
        </w:rPr>
        <w:t xml:space="preserve"> have stated that a key strategic consideration is whether the reform should provide a ‘soft landing’ or a ‘hard fall’ for countries that are not able or willing to conclude an FTA with the EU.</w:t>
      </w:r>
      <w:r>
        <w:rPr>
          <w:rFonts w:ascii="Comic Sans MS" w:hAnsi="Comic Sans MS" w:cs="ArialMT"/>
          <w:sz w:val="28"/>
          <w:szCs w:val="28"/>
        </w:rPr>
        <w:t xml:space="preserve"> </w:t>
      </w:r>
      <w:r>
        <w:rPr>
          <w:rFonts w:ascii="Comic Sans MS" w:hAnsi="Comic Sans MS"/>
          <w:sz w:val="28"/>
          <w:szCs w:val="28"/>
        </w:rPr>
        <w:t xml:space="preserve">The way </w:t>
      </w:r>
      <w:proofErr w:type="spellStart"/>
      <w:proofErr w:type="gramStart"/>
      <w:r>
        <w:rPr>
          <w:rFonts w:ascii="Comic Sans MS" w:hAnsi="Comic Sans MS"/>
          <w:sz w:val="28"/>
          <w:szCs w:val="28"/>
        </w:rPr>
        <w:t>its</w:t>
      </w:r>
      <w:proofErr w:type="spellEnd"/>
      <w:proofErr w:type="gramEnd"/>
      <w:r>
        <w:rPr>
          <w:rFonts w:ascii="Comic Sans MS" w:hAnsi="Comic Sans MS"/>
          <w:sz w:val="28"/>
          <w:szCs w:val="28"/>
        </w:rPr>
        <w:t xml:space="preserve"> current</w:t>
      </w:r>
      <w:r w:rsidRPr="009246B3">
        <w:rPr>
          <w:rFonts w:ascii="Comic Sans MS" w:hAnsi="Comic Sans MS"/>
          <w:sz w:val="28"/>
          <w:szCs w:val="28"/>
        </w:rPr>
        <w:t>l</w:t>
      </w:r>
      <w:r>
        <w:rPr>
          <w:rFonts w:ascii="Comic Sans MS" w:hAnsi="Comic Sans MS"/>
          <w:sz w:val="28"/>
          <w:szCs w:val="28"/>
        </w:rPr>
        <w:t>y</w:t>
      </w:r>
      <w:r w:rsidRPr="009246B3">
        <w:rPr>
          <w:rFonts w:ascii="Comic Sans MS" w:hAnsi="Comic Sans MS"/>
          <w:sz w:val="28"/>
          <w:szCs w:val="28"/>
        </w:rPr>
        <w:t xml:space="preserve"> crafted, the proposal takes away the refuge that ACP countries must have thought they had </w:t>
      </w:r>
      <w:r>
        <w:rPr>
          <w:rFonts w:ascii="Comic Sans MS" w:hAnsi="Comic Sans MS"/>
          <w:sz w:val="28"/>
          <w:szCs w:val="28"/>
        </w:rPr>
        <w:t xml:space="preserve">in the GSP scheme </w:t>
      </w:r>
      <w:r w:rsidRPr="009246B3">
        <w:rPr>
          <w:rFonts w:ascii="Comic Sans MS" w:hAnsi="Comic Sans MS"/>
          <w:sz w:val="28"/>
          <w:szCs w:val="28"/>
        </w:rPr>
        <w:t xml:space="preserve">if the whole EPA negotiations collapse. </w:t>
      </w:r>
    </w:p>
    <w:p w:rsidR="002B60B7" w:rsidRPr="00526F96" w:rsidRDefault="002B60B7" w:rsidP="00526F96">
      <w:pPr>
        <w:autoSpaceDE w:val="0"/>
        <w:autoSpaceDN w:val="0"/>
        <w:adjustRightInd w:val="0"/>
        <w:jc w:val="both"/>
        <w:rPr>
          <w:rFonts w:ascii="Comic Sans MS" w:hAnsi="Comic Sans MS"/>
          <w:sz w:val="28"/>
          <w:szCs w:val="28"/>
        </w:rPr>
      </w:pPr>
      <w:r>
        <w:rPr>
          <w:rFonts w:ascii="ArialMT" w:hAnsi="ArialMT" w:cs="ArialMT"/>
          <w:sz w:val="20"/>
          <w:szCs w:val="20"/>
        </w:rPr>
        <w:t xml:space="preserve"> </w:t>
      </w:r>
    </w:p>
    <w:p w:rsidR="002B60B7" w:rsidRDefault="002B60B7" w:rsidP="00A1035A">
      <w:pPr>
        <w:jc w:val="both"/>
        <w:rPr>
          <w:rFonts w:ascii="Comic Sans MS" w:hAnsi="Comic Sans MS"/>
          <w:sz w:val="28"/>
          <w:szCs w:val="28"/>
        </w:rPr>
      </w:pPr>
      <w:r>
        <w:rPr>
          <w:rFonts w:ascii="Comic Sans MS" w:hAnsi="Comic Sans MS"/>
          <w:sz w:val="28"/>
          <w:szCs w:val="28"/>
        </w:rPr>
        <w:t xml:space="preserve">It is important at this stage that </w:t>
      </w:r>
      <w:r w:rsidRPr="00A1035A">
        <w:rPr>
          <w:rFonts w:ascii="Comic Sans MS" w:hAnsi="Comic Sans MS"/>
          <w:sz w:val="28"/>
          <w:szCs w:val="28"/>
        </w:rPr>
        <w:t xml:space="preserve">the GSP </w:t>
      </w:r>
      <w:r>
        <w:rPr>
          <w:rFonts w:ascii="Comic Sans MS" w:hAnsi="Comic Sans MS"/>
          <w:sz w:val="28"/>
          <w:szCs w:val="28"/>
        </w:rPr>
        <w:t xml:space="preserve">beneficiary countries address the </w:t>
      </w:r>
      <w:r w:rsidRPr="00A1035A">
        <w:rPr>
          <w:rFonts w:ascii="Comic Sans MS" w:hAnsi="Comic Sans MS"/>
          <w:sz w:val="28"/>
          <w:szCs w:val="28"/>
        </w:rPr>
        <w:t>technical detail</w:t>
      </w:r>
      <w:r>
        <w:rPr>
          <w:rFonts w:ascii="Comic Sans MS" w:hAnsi="Comic Sans MS"/>
          <w:sz w:val="28"/>
          <w:szCs w:val="28"/>
        </w:rPr>
        <w:t xml:space="preserve"> of the EC GSP scheme proposal</w:t>
      </w:r>
      <w:r w:rsidRPr="00A1035A">
        <w:rPr>
          <w:rFonts w:ascii="Comic Sans MS" w:hAnsi="Comic Sans MS"/>
          <w:sz w:val="28"/>
          <w:szCs w:val="28"/>
        </w:rPr>
        <w:t xml:space="preserve">. It </w:t>
      </w:r>
      <w:r>
        <w:rPr>
          <w:rFonts w:ascii="Comic Sans MS" w:hAnsi="Comic Sans MS"/>
          <w:sz w:val="28"/>
          <w:szCs w:val="28"/>
        </w:rPr>
        <w:t xml:space="preserve">seems to me that failure at Doha of the developing countries to address the detail of the Doha Ministerial Declaration, which launched the current round of WTO negotiations, </w:t>
      </w:r>
      <w:r w:rsidRPr="00A1035A">
        <w:rPr>
          <w:rFonts w:ascii="Comic Sans MS" w:hAnsi="Comic Sans MS"/>
          <w:sz w:val="28"/>
          <w:szCs w:val="28"/>
        </w:rPr>
        <w:t>ha</w:t>
      </w:r>
      <w:r>
        <w:rPr>
          <w:rFonts w:ascii="Comic Sans MS" w:hAnsi="Comic Sans MS"/>
          <w:sz w:val="28"/>
          <w:szCs w:val="28"/>
        </w:rPr>
        <w:t>s</w:t>
      </w:r>
      <w:r w:rsidRPr="00A1035A">
        <w:rPr>
          <w:rFonts w:ascii="Comic Sans MS" w:hAnsi="Comic Sans MS"/>
          <w:sz w:val="28"/>
          <w:szCs w:val="28"/>
        </w:rPr>
        <w:t xml:space="preserve"> </w:t>
      </w:r>
      <w:r>
        <w:rPr>
          <w:rFonts w:ascii="Comic Sans MS" w:hAnsi="Comic Sans MS"/>
          <w:sz w:val="28"/>
          <w:szCs w:val="28"/>
        </w:rPr>
        <w:t xml:space="preserve">now </w:t>
      </w:r>
      <w:r w:rsidRPr="00A1035A">
        <w:rPr>
          <w:rFonts w:ascii="Comic Sans MS" w:hAnsi="Comic Sans MS"/>
          <w:sz w:val="28"/>
          <w:szCs w:val="28"/>
        </w:rPr>
        <w:t xml:space="preserve">put the whole Doha Round in </w:t>
      </w:r>
      <w:r>
        <w:rPr>
          <w:rFonts w:ascii="Comic Sans MS" w:hAnsi="Comic Sans MS"/>
          <w:sz w:val="28"/>
          <w:szCs w:val="28"/>
        </w:rPr>
        <w:t xml:space="preserve">a </w:t>
      </w:r>
      <w:r w:rsidRPr="00A1035A">
        <w:rPr>
          <w:rFonts w:ascii="Comic Sans MS" w:hAnsi="Comic Sans MS"/>
          <w:sz w:val="28"/>
          <w:szCs w:val="28"/>
        </w:rPr>
        <w:t xml:space="preserve">spin. So details </w:t>
      </w:r>
      <w:r>
        <w:rPr>
          <w:rFonts w:ascii="Comic Sans MS" w:hAnsi="Comic Sans MS"/>
          <w:sz w:val="28"/>
          <w:szCs w:val="28"/>
        </w:rPr>
        <w:t xml:space="preserve">do matter, and </w:t>
      </w:r>
      <w:r w:rsidRPr="00A1035A">
        <w:rPr>
          <w:rFonts w:ascii="Comic Sans MS" w:hAnsi="Comic Sans MS"/>
          <w:sz w:val="28"/>
          <w:szCs w:val="28"/>
        </w:rPr>
        <w:t>must be worked out</w:t>
      </w:r>
      <w:r>
        <w:rPr>
          <w:rFonts w:ascii="Comic Sans MS" w:hAnsi="Comic Sans MS"/>
          <w:sz w:val="28"/>
          <w:szCs w:val="28"/>
        </w:rPr>
        <w:t>,</w:t>
      </w:r>
      <w:r w:rsidRPr="00A1035A">
        <w:rPr>
          <w:rFonts w:ascii="Comic Sans MS" w:hAnsi="Comic Sans MS"/>
          <w:sz w:val="28"/>
          <w:szCs w:val="28"/>
        </w:rPr>
        <w:t xml:space="preserve"> </w:t>
      </w:r>
      <w:r>
        <w:rPr>
          <w:rFonts w:ascii="Comic Sans MS" w:hAnsi="Comic Sans MS"/>
          <w:sz w:val="28"/>
          <w:szCs w:val="28"/>
        </w:rPr>
        <w:t xml:space="preserve">and preferably understood and agreed to, </w:t>
      </w:r>
      <w:r w:rsidRPr="00A1035A">
        <w:rPr>
          <w:rFonts w:ascii="Comic Sans MS" w:hAnsi="Comic Sans MS"/>
          <w:sz w:val="28"/>
          <w:szCs w:val="28"/>
        </w:rPr>
        <w:t xml:space="preserve">right </w:t>
      </w:r>
      <w:r>
        <w:rPr>
          <w:rFonts w:ascii="Comic Sans MS" w:hAnsi="Comic Sans MS"/>
          <w:sz w:val="28"/>
          <w:szCs w:val="28"/>
        </w:rPr>
        <w:t xml:space="preserve">from </w:t>
      </w:r>
      <w:r w:rsidRPr="00A1035A">
        <w:rPr>
          <w:rFonts w:ascii="Comic Sans MS" w:hAnsi="Comic Sans MS"/>
          <w:sz w:val="28"/>
          <w:szCs w:val="28"/>
        </w:rPr>
        <w:t>the beginning</w:t>
      </w:r>
      <w:r>
        <w:rPr>
          <w:rFonts w:ascii="Comic Sans MS" w:hAnsi="Comic Sans MS"/>
          <w:sz w:val="28"/>
          <w:szCs w:val="28"/>
        </w:rPr>
        <w:t>,</w:t>
      </w:r>
      <w:r w:rsidRPr="00A1035A">
        <w:rPr>
          <w:rFonts w:ascii="Comic Sans MS" w:hAnsi="Comic Sans MS"/>
          <w:sz w:val="28"/>
          <w:szCs w:val="28"/>
        </w:rPr>
        <w:t xml:space="preserve"> especially in a GSP scheme that </w:t>
      </w:r>
      <w:r>
        <w:rPr>
          <w:rFonts w:ascii="Comic Sans MS" w:hAnsi="Comic Sans MS"/>
          <w:sz w:val="28"/>
          <w:szCs w:val="28"/>
        </w:rPr>
        <w:t xml:space="preserve">suggests pushing out of the market some </w:t>
      </w:r>
      <w:r w:rsidRPr="00A1035A">
        <w:rPr>
          <w:rFonts w:ascii="Comic Sans MS" w:hAnsi="Comic Sans MS"/>
          <w:sz w:val="28"/>
          <w:szCs w:val="28"/>
        </w:rPr>
        <w:t xml:space="preserve">developing countries </w:t>
      </w:r>
      <w:r>
        <w:rPr>
          <w:rFonts w:ascii="Comic Sans MS" w:hAnsi="Comic Sans MS"/>
          <w:sz w:val="28"/>
          <w:szCs w:val="28"/>
        </w:rPr>
        <w:t xml:space="preserve">supposedly in </w:t>
      </w:r>
      <w:proofErr w:type="spellStart"/>
      <w:r>
        <w:rPr>
          <w:rFonts w:ascii="Comic Sans MS" w:hAnsi="Comic Sans MS"/>
          <w:sz w:val="28"/>
          <w:szCs w:val="28"/>
        </w:rPr>
        <w:t>favour</w:t>
      </w:r>
      <w:proofErr w:type="spellEnd"/>
      <w:r>
        <w:rPr>
          <w:rFonts w:ascii="Comic Sans MS" w:hAnsi="Comic Sans MS"/>
          <w:sz w:val="28"/>
          <w:szCs w:val="28"/>
        </w:rPr>
        <w:t xml:space="preserve"> of other developing countries. </w:t>
      </w:r>
      <w:r w:rsidRPr="00A1035A">
        <w:rPr>
          <w:rFonts w:ascii="Comic Sans MS" w:hAnsi="Comic Sans MS"/>
          <w:sz w:val="28"/>
          <w:szCs w:val="28"/>
        </w:rPr>
        <w:t xml:space="preserve"> </w:t>
      </w:r>
    </w:p>
    <w:p w:rsidR="002B60B7" w:rsidRDefault="002B60B7" w:rsidP="00A1035A">
      <w:pPr>
        <w:jc w:val="both"/>
        <w:rPr>
          <w:rFonts w:ascii="Comic Sans MS" w:hAnsi="Comic Sans MS"/>
          <w:sz w:val="28"/>
          <w:szCs w:val="28"/>
        </w:rPr>
      </w:pPr>
    </w:p>
    <w:p w:rsidR="002B60B7" w:rsidRDefault="002B60B7" w:rsidP="00F256DD">
      <w:pPr>
        <w:jc w:val="both"/>
        <w:rPr>
          <w:rFonts w:ascii="Comic Sans MS" w:hAnsi="Comic Sans MS"/>
          <w:sz w:val="28"/>
          <w:szCs w:val="28"/>
        </w:rPr>
      </w:pPr>
      <w:r w:rsidRPr="00A1035A">
        <w:rPr>
          <w:rFonts w:ascii="Comic Sans MS" w:hAnsi="Comic Sans MS"/>
          <w:sz w:val="28"/>
          <w:szCs w:val="28"/>
        </w:rPr>
        <w:t>Yes, developed countries have the choice whether or not to</w:t>
      </w:r>
      <w:r>
        <w:rPr>
          <w:rFonts w:ascii="Comic Sans MS" w:hAnsi="Comic Sans MS"/>
          <w:sz w:val="28"/>
          <w:szCs w:val="28"/>
        </w:rPr>
        <w:t xml:space="preserve"> put in place </w:t>
      </w:r>
      <w:r w:rsidRPr="00A1035A">
        <w:rPr>
          <w:rFonts w:ascii="Comic Sans MS" w:hAnsi="Comic Sans MS"/>
          <w:sz w:val="28"/>
          <w:szCs w:val="28"/>
        </w:rPr>
        <w:t xml:space="preserve">GSP schemes </w:t>
      </w:r>
      <w:r>
        <w:rPr>
          <w:rFonts w:ascii="Comic Sans MS" w:hAnsi="Comic Sans MS"/>
          <w:sz w:val="28"/>
          <w:szCs w:val="28"/>
        </w:rPr>
        <w:t xml:space="preserve">to benefit </w:t>
      </w:r>
      <w:r w:rsidRPr="00A1035A">
        <w:rPr>
          <w:rFonts w:ascii="Comic Sans MS" w:hAnsi="Comic Sans MS"/>
          <w:sz w:val="28"/>
          <w:szCs w:val="28"/>
        </w:rPr>
        <w:t>developing countries. But</w:t>
      </w:r>
      <w:r>
        <w:rPr>
          <w:rFonts w:ascii="Comic Sans MS" w:hAnsi="Comic Sans MS"/>
          <w:sz w:val="28"/>
          <w:szCs w:val="28"/>
        </w:rPr>
        <w:t xml:space="preserve"> when they chose to do so, no, they can</w:t>
      </w:r>
      <w:r w:rsidRPr="00A1035A">
        <w:rPr>
          <w:rFonts w:ascii="Comic Sans MS" w:hAnsi="Comic Sans MS"/>
          <w:sz w:val="28"/>
          <w:szCs w:val="28"/>
        </w:rPr>
        <w:t xml:space="preserve">not </w:t>
      </w:r>
      <w:r>
        <w:rPr>
          <w:rFonts w:ascii="Comic Sans MS" w:hAnsi="Comic Sans MS"/>
          <w:sz w:val="28"/>
          <w:szCs w:val="28"/>
        </w:rPr>
        <w:t xml:space="preserve">fashion these </w:t>
      </w:r>
      <w:r w:rsidRPr="00A1035A">
        <w:rPr>
          <w:rFonts w:ascii="Comic Sans MS" w:hAnsi="Comic Sans MS"/>
          <w:sz w:val="28"/>
          <w:szCs w:val="28"/>
        </w:rPr>
        <w:t>GSP preference</w:t>
      </w:r>
      <w:r>
        <w:rPr>
          <w:rFonts w:ascii="Comic Sans MS" w:hAnsi="Comic Sans MS"/>
          <w:sz w:val="28"/>
          <w:szCs w:val="28"/>
        </w:rPr>
        <w:t xml:space="preserve"> schemes</w:t>
      </w:r>
      <w:r w:rsidRPr="00A1035A">
        <w:rPr>
          <w:rFonts w:ascii="Comic Sans MS" w:hAnsi="Comic Sans MS"/>
          <w:sz w:val="28"/>
          <w:szCs w:val="28"/>
        </w:rPr>
        <w:t xml:space="preserve"> in a manner that </w:t>
      </w:r>
      <w:r>
        <w:rPr>
          <w:rFonts w:ascii="Comic Sans MS" w:hAnsi="Comic Sans MS"/>
          <w:sz w:val="28"/>
          <w:szCs w:val="28"/>
        </w:rPr>
        <w:t xml:space="preserve">is </w:t>
      </w:r>
      <w:r w:rsidRPr="00A1035A">
        <w:rPr>
          <w:rFonts w:ascii="Comic Sans MS" w:hAnsi="Comic Sans MS"/>
          <w:sz w:val="28"/>
          <w:szCs w:val="28"/>
        </w:rPr>
        <w:t xml:space="preserve">self-serving. </w:t>
      </w:r>
      <w:r>
        <w:rPr>
          <w:rFonts w:ascii="Comic Sans MS" w:hAnsi="Comic Sans MS"/>
          <w:sz w:val="28"/>
          <w:szCs w:val="28"/>
        </w:rPr>
        <w:t xml:space="preserve">It need not be forgotten that the EC GSP scheme is also a visibility exercise for the EC. The EC can put its hand up in different fora and tell all how it is doing wonderful things for the developing countries in its GSP schemes. Therefore, the EC preference scheme must not be allowed to remain preferences on paper. </w:t>
      </w:r>
    </w:p>
    <w:p w:rsidR="002B60B7" w:rsidRDefault="002B60B7" w:rsidP="004378EF">
      <w:pPr>
        <w:jc w:val="both"/>
        <w:rPr>
          <w:rFonts w:ascii="Comic Sans MS" w:hAnsi="Comic Sans MS"/>
          <w:sz w:val="28"/>
          <w:szCs w:val="28"/>
        </w:rPr>
      </w:pPr>
    </w:p>
    <w:p w:rsidR="002B60B7" w:rsidRDefault="002B60B7" w:rsidP="0045225A"/>
    <w:p w:rsidR="002B60B7" w:rsidRDefault="002B60B7" w:rsidP="0045225A">
      <w:pPr>
        <w:rPr>
          <w:rFonts w:ascii="Comic Sans MS" w:hAnsi="Comic Sans MS"/>
        </w:rPr>
      </w:pPr>
    </w:p>
    <w:p w:rsidR="002B60B7" w:rsidRDefault="002B60B7" w:rsidP="0045225A">
      <w:pPr>
        <w:rPr>
          <w:rFonts w:ascii="Comic Sans MS" w:hAnsi="Comic Sans MS"/>
        </w:rPr>
      </w:pPr>
    </w:p>
    <w:p w:rsidR="002B60B7" w:rsidRPr="00376889" w:rsidRDefault="002B60B7" w:rsidP="00613332">
      <w:pPr>
        <w:autoSpaceDE w:val="0"/>
        <w:autoSpaceDN w:val="0"/>
        <w:adjustRightInd w:val="0"/>
        <w:rPr>
          <w:rFonts w:ascii="Comic Sans MS" w:hAnsi="Comic Sans MS"/>
          <w:sz w:val="28"/>
          <w:szCs w:val="28"/>
        </w:rPr>
      </w:pPr>
      <w:r w:rsidRPr="00376889">
        <w:rPr>
          <w:rFonts w:ascii="Comic Sans MS" w:hAnsi="Comic Sans MS"/>
          <w:sz w:val="28"/>
          <w:szCs w:val="28"/>
        </w:rPr>
        <w:t>Felix Maonera</w:t>
      </w:r>
    </w:p>
    <w:p w:rsidR="002B60B7" w:rsidRPr="00376889" w:rsidRDefault="002B60B7" w:rsidP="00613332">
      <w:pPr>
        <w:autoSpaceDE w:val="0"/>
        <w:autoSpaceDN w:val="0"/>
        <w:adjustRightInd w:val="0"/>
        <w:rPr>
          <w:rFonts w:ascii="Comic Sans MS" w:hAnsi="Comic Sans MS"/>
          <w:i/>
        </w:rPr>
      </w:pPr>
      <w:r w:rsidRPr="00376889">
        <w:rPr>
          <w:rFonts w:ascii="Comic Sans MS" w:hAnsi="Comic Sans MS"/>
          <w:i/>
        </w:rPr>
        <w:t>Deputy Head, ACP Geneva Office</w:t>
      </w:r>
    </w:p>
    <w:p w:rsidR="002B60B7" w:rsidRPr="00376889" w:rsidRDefault="002B60B7" w:rsidP="00613332">
      <w:pPr>
        <w:autoSpaceDE w:val="0"/>
        <w:autoSpaceDN w:val="0"/>
        <w:adjustRightInd w:val="0"/>
        <w:rPr>
          <w:rFonts w:ascii="Comic Sans MS" w:hAnsi="Comic Sans MS"/>
        </w:rPr>
      </w:pPr>
      <w:r>
        <w:rPr>
          <w:rFonts w:ascii="Comic Sans MS" w:hAnsi="Comic Sans MS"/>
        </w:rPr>
        <w:t>Geneva, June</w:t>
      </w:r>
      <w:r w:rsidRPr="00376889">
        <w:rPr>
          <w:rFonts w:ascii="Comic Sans MS" w:hAnsi="Comic Sans MS"/>
        </w:rPr>
        <w:t xml:space="preserve"> 2011</w:t>
      </w: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45225A">
      <w:pPr>
        <w:rPr>
          <w:rFonts w:ascii="Comic Sans MS" w:hAnsi="Comic Sans MS"/>
        </w:rPr>
      </w:pPr>
    </w:p>
    <w:p w:rsidR="002B60B7" w:rsidRDefault="002B60B7" w:rsidP="00800703">
      <w:pPr>
        <w:pStyle w:val="Heading3"/>
        <w:numPr>
          <w:ilvl w:val="0"/>
          <w:numId w:val="0"/>
        </w:numPr>
        <w:rPr>
          <w:rFonts w:ascii="Comic Sans MS" w:hAnsi="Comic Sans MS"/>
          <w:bCs/>
          <w:sz w:val="28"/>
        </w:rPr>
      </w:pPr>
      <w:bookmarkStart w:id="14" w:name="_Toc295486242"/>
      <w:r w:rsidRPr="00800703">
        <w:rPr>
          <w:rFonts w:ascii="Comic Sans MS" w:hAnsi="Comic Sans MS"/>
          <w:bCs/>
          <w:sz w:val="28"/>
        </w:rPr>
        <w:t>Bibliography</w:t>
      </w:r>
      <w:bookmarkEnd w:id="14"/>
    </w:p>
    <w:p w:rsidR="002B60B7" w:rsidRDefault="002B60B7" w:rsidP="00800703">
      <w:pPr>
        <w:jc w:val="both"/>
        <w:rPr>
          <w:rFonts w:ascii="Comic Sans MS" w:hAnsi="Comic Sans MS" w:cs="ArialMT"/>
        </w:rPr>
      </w:pPr>
    </w:p>
    <w:p w:rsidR="002B60B7" w:rsidRPr="00800703" w:rsidRDefault="002B60B7" w:rsidP="00800703">
      <w:pPr>
        <w:jc w:val="both"/>
        <w:rPr>
          <w:rFonts w:ascii="Comic Sans MS" w:hAnsi="Comic Sans MS"/>
        </w:rPr>
      </w:pPr>
      <w:r w:rsidRPr="00800703">
        <w:rPr>
          <w:rFonts w:ascii="Comic Sans MS" w:hAnsi="Comic Sans MS"/>
          <w:i/>
        </w:rPr>
        <w:t>European Communities – Conditions for Granting of Tariff Preferences to Developing Countries,</w:t>
      </w:r>
      <w:r w:rsidRPr="00800703">
        <w:rPr>
          <w:rFonts w:ascii="Comic Sans MS" w:hAnsi="Comic Sans MS"/>
        </w:rPr>
        <w:t xml:space="preserve"> Report of the Panel WT/DS246/R</w:t>
      </w:r>
      <w:r w:rsidRPr="00800703">
        <w:rPr>
          <w:rFonts w:ascii="Comic Sans MS" w:hAnsi="Comic Sans MS"/>
          <w:b/>
        </w:rPr>
        <w:t xml:space="preserve">; </w:t>
      </w:r>
      <w:r w:rsidRPr="00800703">
        <w:rPr>
          <w:rFonts w:ascii="Comic Sans MS" w:hAnsi="Comic Sans MS"/>
        </w:rPr>
        <w:t>Appellate Body Report WT/DS246/AB/R</w:t>
      </w:r>
    </w:p>
    <w:p w:rsidR="002B60B7" w:rsidRDefault="002B60B7" w:rsidP="00800703">
      <w:pPr>
        <w:pStyle w:val="FootnoteText"/>
        <w:jc w:val="both"/>
        <w:rPr>
          <w:rFonts w:ascii="Comic Sans MS" w:hAnsi="Comic Sans MS"/>
          <w:sz w:val="24"/>
          <w:szCs w:val="24"/>
        </w:rPr>
      </w:pPr>
    </w:p>
    <w:p w:rsidR="002B60B7" w:rsidRPr="00800703" w:rsidRDefault="002B60B7" w:rsidP="00800703">
      <w:pPr>
        <w:pStyle w:val="FootnoteText"/>
        <w:jc w:val="both"/>
        <w:rPr>
          <w:rFonts w:ascii="Comic Sans MS" w:hAnsi="Comic Sans MS"/>
          <w:sz w:val="24"/>
          <w:szCs w:val="24"/>
        </w:rPr>
      </w:pPr>
      <w:r w:rsidRPr="00800703">
        <w:rPr>
          <w:rFonts w:ascii="Comic Sans MS" w:hAnsi="Comic Sans MS"/>
          <w:sz w:val="24"/>
          <w:szCs w:val="24"/>
        </w:rPr>
        <w:t xml:space="preserve">Mid-term Evaluation of the EU’s </w:t>
      </w:r>
      <w:proofErr w:type="spellStart"/>
      <w:r w:rsidRPr="00800703">
        <w:rPr>
          <w:rFonts w:ascii="Comic Sans MS" w:hAnsi="Comic Sans MS"/>
          <w:sz w:val="24"/>
          <w:szCs w:val="24"/>
        </w:rPr>
        <w:t>Generalised</w:t>
      </w:r>
      <w:proofErr w:type="spellEnd"/>
      <w:r w:rsidRPr="00800703">
        <w:rPr>
          <w:rFonts w:ascii="Comic Sans MS" w:hAnsi="Comic Sans MS"/>
          <w:sz w:val="24"/>
          <w:szCs w:val="24"/>
        </w:rPr>
        <w:t xml:space="preserve"> System of Preferences, submitted by the Centre for the Analysis of Region Integration at Sussex (the CARIS Report).</w:t>
      </w:r>
    </w:p>
    <w:p w:rsidR="002B60B7" w:rsidRDefault="002B60B7" w:rsidP="00800703">
      <w:pPr>
        <w:autoSpaceDE w:val="0"/>
        <w:autoSpaceDN w:val="0"/>
        <w:adjustRightInd w:val="0"/>
        <w:jc w:val="both"/>
        <w:rPr>
          <w:rFonts w:ascii="Comic Sans MS" w:hAnsi="Comic Sans MS" w:cs="Arial-ItalicMT"/>
          <w:iCs/>
          <w:color w:val="000000"/>
        </w:rPr>
      </w:pPr>
    </w:p>
    <w:p w:rsidR="002B60B7" w:rsidRPr="00800703" w:rsidRDefault="002B60B7" w:rsidP="00800703">
      <w:pPr>
        <w:autoSpaceDE w:val="0"/>
        <w:autoSpaceDN w:val="0"/>
        <w:adjustRightInd w:val="0"/>
        <w:jc w:val="both"/>
        <w:rPr>
          <w:rFonts w:ascii="Comic Sans MS" w:hAnsi="Comic Sans MS"/>
        </w:rPr>
      </w:pPr>
      <w:proofErr w:type="spellStart"/>
      <w:r w:rsidRPr="005C7107">
        <w:rPr>
          <w:rFonts w:ascii="Comic Sans MS" w:hAnsi="Comic Sans MS" w:cs="Arial-ItalicMT"/>
          <w:i/>
          <w:iCs/>
          <w:color w:val="000000"/>
        </w:rPr>
        <w:t>Sanoussi</w:t>
      </w:r>
      <w:proofErr w:type="spellEnd"/>
      <w:r w:rsidRPr="005C7107">
        <w:rPr>
          <w:rFonts w:ascii="Comic Sans MS" w:hAnsi="Comic Sans MS" w:cs="Arial-ItalicMT"/>
          <w:i/>
          <w:iCs/>
          <w:color w:val="000000"/>
        </w:rPr>
        <w:t xml:space="preserve"> Bilal, Isabelle </w:t>
      </w:r>
      <w:proofErr w:type="spellStart"/>
      <w:r w:rsidRPr="005C7107">
        <w:rPr>
          <w:rFonts w:ascii="Comic Sans MS" w:hAnsi="Comic Sans MS" w:cs="Arial-ItalicMT"/>
          <w:i/>
          <w:iCs/>
          <w:color w:val="000000"/>
        </w:rPr>
        <w:t>Ramdoo</w:t>
      </w:r>
      <w:proofErr w:type="spellEnd"/>
      <w:r w:rsidRPr="005C7107">
        <w:rPr>
          <w:rFonts w:ascii="Comic Sans MS" w:hAnsi="Comic Sans MS" w:cs="Arial-ItalicMT"/>
          <w:i/>
          <w:iCs/>
          <w:color w:val="000000"/>
        </w:rPr>
        <w:t xml:space="preserve"> and Quentin de </w:t>
      </w:r>
      <w:proofErr w:type="spellStart"/>
      <w:r w:rsidRPr="005C7107">
        <w:rPr>
          <w:rFonts w:ascii="Comic Sans MS" w:hAnsi="Comic Sans MS" w:cs="Arial-ItalicMT"/>
          <w:i/>
          <w:iCs/>
          <w:color w:val="000000"/>
        </w:rPr>
        <w:t>Roquefeuil</w:t>
      </w:r>
      <w:proofErr w:type="spellEnd"/>
      <w:r>
        <w:rPr>
          <w:rFonts w:ascii="Comic Sans MS" w:hAnsi="Comic Sans MS" w:cs="Arial-ItalicMT"/>
          <w:iCs/>
          <w:color w:val="000000"/>
        </w:rPr>
        <w:t xml:space="preserve"> - </w:t>
      </w:r>
      <w:r w:rsidRPr="00800703">
        <w:rPr>
          <w:rFonts w:ascii="Comic Sans MS" w:hAnsi="Comic Sans MS"/>
        </w:rPr>
        <w:t>ECDPM Briefing Note, No. 24 April 2001 entitled GSP Reform: Prin</w:t>
      </w:r>
      <w:r>
        <w:rPr>
          <w:rFonts w:ascii="Comic Sans MS" w:hAnsi="Comic Sans MS"/>
        </w:rPr>
        <w:t>ciples, values and coherence</w:t>
      </w:r>
      <w:r w:rsidRPr="00800703">
        <w:rPr>
          <w:rFonts w:ascii="Comic Sans MS" w:hAnsi="Comic Sans MS"/>
        </w:rPr>
        <w:t xml:space="preserve"> </w:t>
      </w:r>
    </w:p>
    <w:p w:rsidR="002B60B7" w:rsidRDefault="002B60B7" w:rsidP="00800703">
      <w:pPr>
        <w:jc w:val="both"/>
        <w:rPr>
          <w:rFonts w:ascii="Comic Sans MS" w:hAnsi="Comic Sans MS" w:cs="ArialMT"/>
        </w:rPr>
      </w:pPr>
    </w:p>
    <w:p w:rsidR="002B60B7" w:rsidRPr="00800703" w:rsidRDefault="002B60B7" w:rsidP="00800703">
      <w:pPr>
        <w:jc w:val="both"/>
        <w:rPr>
          <w:rFonts w:ascii="Comic Sans MS" w:hAnsi="Comic Sans MS"/>
        </w:rPr>
      </w:pPr>
      <w:r w:rsidRPr="00800703">
        <w:rPr>
          <w:rFonts w:ascii="Comic Sans MS" w:hAnsi="Comic Sans MS" w:cs="ArialMT"/>
        </w:rPr>
        <w:t xml:space="preserve">The European Commission </w:t>
      </w:r>
      <w:r w:rsidRPr="00800703">
        <w:rPr>
          <w:rFonts w:ascii="Comic Sans MS" w:hAnsi="Comic Sans MS"/>
        </w:rPr>
        <w:t xml:space="preserve">Proposal for a Regulation of the European Parliament and of the Council Applying a Scheme of </w:t>
      </w:r>
      <w:proofErr w:type="spellStart"/>
      <w:r w:rsidRPr="00800703">
        <w:rPr>
          <w:rFonts w:ascii="Comic Sans MS" w:hAnsi="Comic Sans MS"/>
        </w:rPr>
        <w:t>Generalised</w:t>
      </w:r>
      <w:proofErr w:type="spellEnd"/>
      <w:r w:rsidRPr="00800703">
        <w:rPr>
          <w:rFonts w:ascii="Comic Sans MS" w:hAnsi="Comic Sans MS"/>
        </w:rPr>
        <w:t xml:space="preserve"> Tariff Preferences</w:t>
      </w:r>
    </w:p>
    <w:p w:rsidR="002B60B7" w:rsidRDefault="002B60B7">
      <w:pPr>
        <w:rPr>
          <w:rFonts w:ascii="Comic Sans MS" w:hAnsi="Comic Sans MS"/>
        </w:rPr>
      </w:pPr>
    </w:p>
    <w:p w:rsidR="002B60B7" w:rsidRDefault="002B60B7">
      <w:pPr>
        <w:rPr>
          <w:rFonts w:ascii="Comic Sans MS" w:hAnsi="Comic Sans MS"/>
        </w:rPr>
      </w:pPr>
    </w:p>
    <w:p w:rsidR="002B60B7" w:rsidRPr="00800703" w:rsidRDefault="002B60B7">
      <w:pPr>
        <w:rPr>
          <w:rFonts w:ascii="Comic Sans MS" w:hAnsi="Comic Sans MS"/>
        </w:rPr>
      </w:pPr>
    </w:p>
    <w:sectPr w:rsidR="002B60B7" w:rsidRPr="00800703" w:rsidSect="00D57E5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C8" w:rsidRDefault="008B11C8">
      <w:r>
        <w:separator/>
      </w:r>
    </w:p>
  </w:endnote>
  <w:endnote w:type="continuationSeparator" w:id="0">
    <w:p w:rsidR="008B11C8" w:rsidRDefault="008B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B7" w:rsidRDefault="002B60B7" w:rsidP="00E06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0B7" w:rsidRDefault="002B60B7" w:rsidP="00E836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B7" w:rsidRDefault="002B60B7" w:rsidP="004D5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FFD">
      <w:rPr>
        <w:rStyle w:val="PageNumber"/>
        <w:noProof/>
      </w:rPr>
      <w:t>1</w:t>
    </w:r>
    <w:r>
      <w:rPr>
        <w:rStyle w:val="PageNumber"/>
      </w:rPr>
      <w:fldChar w:fldCharType="end"/>
    </w:r>
  </w:p>
  <w:p w:rsidR="002B60B7" w:rsidRDefault="002B60B7" w:rsidP="00E836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C8" w:rsidRDefault="008B11C8">
      <w:r>
        <w:separator/>
      </w:r>
    </w:p>
  </w:footnote>
  <w:footnote w:type="continuationSeparator" w:id="0">
    <w:p w:rsidR="008B11C8" w:rsidRDefault="008B11C8">
      <w:r>
        <w:continuationSeparator/>
      </w:r>
    </w:p>
  </w:footnote>
  <w:footnote w:id="1">
    <w:p w:rsidR="002B60B7" w:rsidRDefault="002B60B7" w:rsidP="002C476F">
      <w:pPr>
        <w:pStyle w:val="FootnoteText"/>
      </w:pPr>
      <w:r w:rsidRPr="00690CB7">
        <w:rPr>
          <w:rStyle w:val="FootnoteReference"/>
          <w:rFonts w:ascii="Comic Sans MS" w:hAnsi="Comic Sans MS"/>
        </w:rPr>
        <w:footnoteRef/>
      </w:r>
      <w:r w:rsidRPr="00690CB7">
        <w:rPr>
          <w:rFonts w:ascii="Comic Sans MS" w:hAnsi="Comic Sans MS"/>
        </w:rPr>
        <w:t xml:space="preserve"> Paragraph 4 of the Explanatory Memorandum, page 3</w:t>
      </w:r>
    </w:p>
  </w:footnote>
  <w:footnote w:id="2">
    <w:p w:rsidR="002B60B7" w:rsidRDefault="002B60B7">
      <w:pPr>
        <w:pStyle w:val="FootnoteText"/>
      </w:pPr>
      <w:r>
        <w:rPr>
          <w:rStyle w:val="FootnoteReference"/>
        </w:rPr>
        <w:footnoteRef/>
      </w:r>
      <w:r w:rsidRPr="00690CB7">
        <w:rPr>
          <w:rFonts w:ascii="Comic Sans MS" w:hAnsi="Comic Sans MS"/>
        </w:rPr>
        <w:t xml:space="preserve"> Resolution 21(II)</w:t>
      </w:r>
    </w:p>
  </w:footnote>
  <w:footnote w:id="3">
    <w:p w:rsidR="002B60B7" w:rsidRDefault="002B60B7" w:rsidP="000B29C8">
      <w:pPr>
        <w:jc w:val="both"/>
      </w:pPr>
      <w:r w:rsidRPr="00690CB7">
        <w:rPr>
          <w:rStyle w:val="FootnoteReference"/>
          <w:rFonts w:ascii="Comic Sans MS" w:hAnsi="Comic Sans MS"/>
          <w:sz w:val="20"/>
          <w:szCs w:val="20"/>
        </w:rPr>
        <w:footnoteRef/>
      </w:r>
      <w:r w:rsidRPr="00690CB7">
        <w:rPr>
          <w:rFonts w:ascii="Comic Sans MS" w:hAnsi="Comic Sans MS"/>
          <w:sz w:val="20"/>
          <w:szCs w:val="20"/>
        </w:rPr>
        <w:t xml:space="preserve">As narrated in paragraph 7.64 of the Report of the Panel: </w:t>
      </w:r>
      <w:r w:rsidRPr="00690CB7">
        <w:rPr>
          <w:rFonts w:ascii="Comic Sans MS" w:hAnsi="Comic Sans MS"/>
          <w:i/>
          <w:sz w:val="20"/>
          <w:szCs w:val="20"/>
        </w:rPr>
        <w:t>European Communities – Conditions for Granting of Tariff Preferences to Developing Countries,</w:t>
      </w:r>
      <w:r w:rsidRPr="00690CB7">
        <w:rPr>
          <w:rFonts w:ascii="Comic Sans MS" w:hAnsi="Comic Sans MS"/>
          <w:sz w:val="20"/>
          <w:szCs w:val="20"/>
        </w:rPr>
        <w:t xml:space="preserve"> WT/DS246/R</w:t>
      </w:r>
      <w:r w:rsidRPr="00690CB7">
        <w:rPr>
          <w:rFonts w:ascii="Comic Sans MS" w:hAnsi="Comic Sans MS"/>
          <w:b/>
          <w:sz w:val="20"/>
          <w:szCs w:val="20"/>
        </w:rPr>
        <w:t xml:space="preserve">, </w:t>
      </w:r>
      <w:r w:rsidRPr="00690CB7">
        <w:rPr>
          <w:rFonts w:ascii="Comic Sans MS" w:hAnsi="Comic Sans MS"/>
          <w:sz w:val="20"/>
          <w:szCs w:val="20"/>
        </w:rPr>
        <w:t>1 December 2003</w:t>
      </w:r>
    </w:p>
  </w:footnote>
  <w:footnote w:id="4">
    <w:p w:rsidR="002B60B7" w:rsidRDefault="002B60B7">
      <w:pPr>
        <w:pStyle w:val="FootnoteText"/>
      </w:pPr>
      <w:r w:rsidRPr="00690CB7">
        <w:rPr>
          <w:rStyle w:val="FootnoteReference"/>
          <w:rFonts w:ascii="Comic Sans MS" w:hAnsi="Comic Sans MS"/>
        </w:rPr>
        <w:footnoteRef/>
      </w:r>
      <w:r w:rsidRPr="00690CB7">
        <w:rPr>
          <w:rFonts w:ascii="Comic Sans MS" w:hAnsi="Comic Sans MS"/>
        </w:rPr>
        <w:t xml:space="preserve"> As narrated in paragraph 7.64 of the Report of the Panel</w:t>
      </w:r>
    </w:p>
  </w:footnote>
  <w:footnote w:id="5">
    <w:p w:rsidR="002B60B7" w:rsidRDefault="002B60B7">
      <w:pPr>
        <w:pStyle w:val="FootnoteText"/>
      </w:pPr>
      <w:r w:rsidRPr="00690CB7">
        <w:rPr>
          <w:rStyle w:val="FootnoteReference"/>
          <w:rFonts w:ascii="Comic Sans MS" w:hAnsi="Comic Sans MS"/>
        </w:rPr>
        <w:footnoteRef/>
      </w:r>
      <w:r w:rsidRPr="00690CB7">
        <w:rPr>
          <w:rFonts w:ascii="Comic Sans MS" w:hAnsi="Comic Sans MS"/>
        </w:rPr>
        <w:t xml:space="preserve"> Paragraph 7.31 of the Report of the Panel</w:t>
      </w:r>
    </w:p>
  </w:footnote>
  <w:footnote w:id="6">
    <w:p w:rsidR="002B60B7" w:rsidRDefault="002B60B7" w:rsidP="003B54A3">
      <w:pPr>
        <w:autoSpaceDE w:val="0"/>
        <w:autoSpaceDN w:val="0"/>
        <w:adjustRightInd w:val="0"/>
      </w:pPr>
      <w:r w:rsidRPr="00690CB7">
        <w:rPr>
          <w:rStyle w:val="FootnoteReference"/>
          <w:rFonts w:ascii="Comic Sans MS" w:hAnsi="Comic Sans MS"/>
          <w:sz w:val="20"/>
        </w:rPr>
        <w:footnoteRef/>
      </w:r>
      <w:r w:rsidRPr="00690CB7">
        <w:rPr>
          <w:rFonts w:ascii="Comic Sans MS" w:hAnsi="Comic Sans MS"/>
          <w:sz w:val="20"/>
          <w:szCs w:val="20"/>
        </w:rPr>
        <w:t xml:space="preserve"> ECDPM</w:t>
      </w:r>
      <w:r>
        <w:rPr>
          <w:rFonts w:ascii="Comic Sans MS" w:hAnsi="Comic Sans MS"/>
          <w:sz w:val="20"/>
          <w:szCs w:val="20"/>
        </w:rPr>
        <w:t xml:space="preserve"> Briefing Note, No. 24 April 201</w:t>
      </w:r>
      <w:r w:rsidRPr="00690CB7">
        <w:rPr>
          <w:rFonts w:ascii="Comic Sans MS" w:hAnsi="Comic Sans MS"/>
          <w:sz w:val="20"/>
          <w:szCs w:val="20"/>
        </w:rPr>
        <w:t xml:space="preserve">1 entitled GSP Reform: Principles, values and coherence, by  </w:t>
      </w:r>
      <w:proofErr w:type="spellStart"/>
      <w:r w:rsidRPr="00690CB7">
        <w:rPr>
          <w:rFonts w:ascii="Comic Sans MS" w:hAnsi="Comic Sans MS" w:cs="Arial-ItalicMT"/>
          <w:iCs/>
          <w:color w:val="000000"/>
          <w:sz w:val="20"/>
          <w:szCs w:val="20"/>
        </w:rPr>
        <w:t>Sanoussi</w:t>
      </w:r>
      <w:proofErr w:type="spellEnd"/>
      <w:r w:rsidRPr="00690CB7">
        <w:rPr>
          <w:rFonts w:ascii="Comic Sans MS" w:hAnsi="Comic Sans MS" w:cs="Arial-ItalicMT"/>
          <w:iCs/>
          <w:color w:val="000000"/>
          <w:sz w:val="20"/>
          <w:szCs w:val="20"/>
        </w:rPr>
        <w:t xml:space="preserve"> Bilal, Isabelle </w:t>
      </w:r>
      <w:proofErr w:type="spellStart"/>
      <w:r w:rsidRPr="00690CB7">
        <w:rPr>
          <w:rFonts w:ascii="Comic Sans MS" w:hAnsi="Comic Sans MS" w:cs="Arial-ItalicMT"/>
          <w:iCs/>
          <w:color w:val="000000"/>
          <w:sz w:val="20"/>
          <w:szCs w:val="20"/>
        </w:rPr>
        <w:t>Ramdoo</w:t>
      </w:r>
      <w:proofErr w:type="spellEnd"/>
      <w:r w:rsidRPr="00690CB7">
        <w:rPr>
          <w:rFonts w:ascii="Comic Sans MS" w:hAnsi="Comic Sans MS" w:cs="Arial-ItalicMT"/>
          <w:iCs/>
          <w:color w:val="000000"/>
          <w:sz w:val="20"/>
          <w:szCs w:val="20"/>
        </w:rPr>
        <w:t xml:space="preserve"> and Quentin de </w:t>
      </w:r>
      <w:proofErr w:type="spellStart"/>
      <w:r w:rsidRPr="00690CB7">
        <w:rPr>
          <w:rFonts w:ascii="Comic Sans MS" w:hAnsi="Comic Sans MS" w:cs="Arial-ItalicMT"/>
          <w:iCs/>
          <w:color w:val="000000"/>
          <w:sz w:val="20"/>
          <w:szCs w:val="20"/>
        </w:rPr>
        <w:t>Roquefeuil</w:t>
      </w:r>
      <w:proofErr w:type="spellEnd"/>
      <w:r w:rsidRPr="00690CB7">
        <w:rPr>
          <w:rFonts w:ascii="Comic Sans MS" w:hAnsi="Comic Sans MS" w:cs="Arial-ItalicMT"/>
          <w:iCs/>
          <w:color w:val="000000"/>
          <w:sz w:val="20"/>
          <w:szCs w:val="20"/>
        </w:rPr>
        <w:t>, page 2</w:t>
      </w:r>
    </w:p>
  </w:footnote>
  <w:footnote w:id="7">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Article 1(2) of the EU GSP Proposal</w:t>
      </w:r>
    </w:p>
  </w:footnote>
  <w:footnote w:id="8">
    <w:p w:rsidR="002B60B7" w:rsidRDefault="002B60B7" w:rsidP="00007B16">
      <w:r w:rsidRPr="00007278">
        <w:rPr>
          <w:rStyle w:val="FootnoteReference"/>
          <w:rFonts w:ascii="Comic Sans MS" w:hAnsi="Comic Sans MS"/>
          <w:sz w:val="20"/>
          <w:szCs w:val="20"/>
        </w:rPr>
        <w:footnoteRef/>
      </w:r>
      <w:r w:rsidRPr="00007278">
        <w:rPr>
          <w:rFonts w:ascii="Comic Sans MS" w:hAnsi="Comic Sans MS"/>
          <w:sz w:val="20"/>
          <w:szCs w:val="20"/>
        </w:rPr>
        <w:t xml:space="preserve"> European Communities – Conditions for Granting of Tariff Preferences to Developing Countries, Report of the Panel, WT/DS246/R</w:t>
      </w:r>
      <w:r w:rsidRPr="00007278">
        <w:rPr>
          <w:rFonts w:ascii="Comic Sans MS" w:hAnsi="Comic Sans MS"/>
          <w:b/>
          <w:sz w:val="20"/>
          <w:szCs w:val="20"/>
        </w:rPr>
        <w:t xml:space="preserve">, </w:t>
      </w:r>
      <w:r w:rsidRPr="00007278">
        <w:rPr>
          <w:rFonts w:ascii="Comic Sans MS" w:hAnsi="Comic Sans MS"/>
          <w:sz w:val="20"/>
          <w:szCs w:val="20"/>
        </w:rPr>
        <w:t>1 December 2003</w:t>
      </w:r>
    </w:p>
  </w:footnote>
  <w:footnote w:id="9">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The benefits under the Drug Arrangements currently apply to 12 named countries: </w:t>
      </w:r>
      <w:smartTag w:uri="urn:schemas-microsoft-com:office:smarttags" w:element="country-region">
        <w:r w:rsidRPr="00007278">
          <w:rPr>
            <w:rFonts w:ascii="Comic Sans MS" w:hAnsi="Comic Sans MS"/>
          </w:rPr>
          <w:t>Bolivia</w:t>
        </w:r>
      </w:smartTag>
      <w:r w:rsidRPr="00007278">
        <w:rPr>
          <w:rFonts w:ascii="Comic Sans MS" w:hAnsi="Comic Sans MS"/>
        </w:rPr>
        <w:t xml:space="preserve">, </w:t>
      </w:r>
      <w:smartTag w:uri="urn:schemas-microsoft-com:office:smarttags" w:element="country-region">
        <w:r w:rsidRPr="00007278">
          <w:rPr>
            <w:rFonts w:ascii="Comic Sans MS" w:hAnsi="Comic Sans MS"/>
          </w:rPr>
          <w:t>Colombia</w:t>
        </w:r>
      </w:smartTag>
      <w:r w:rsidRPr="00007278">
        <w:rPr>
          <w:rFonts w:ascii="Comic Sans MS" w:hAnsi="Comic Sans MS"/>
        </w:rPr>
        <w:t xml:space="preserve">, </w:t>
      </w:r>
      <w:smartTag w:uri="urn:schemas-microsoft-com:office:smarttags" w:element="country-region">
        <w:r w:rsidRPr="00007278">
          <w:rPr>
            <w:rFonts w:ascii="Comic Sans MS" w:hAnsi="Comic Sans MS"/>
          </w:rPr>
          <w:t>Costa Rica</w:t>
        </w:r>
      </w:smartTag>
      <w:r w:rsidRPr="00007278">
        <w:rPr>
          <w:rFonts w:ascii="Comic Sans MS" w:hAnsi="Comic Sans MS"/>
        </w:rPr>
        <w:t xml:space="preserve">, </w:t>
      </w:r>
      <w:smartTag w:uri="urn:schemas-microsoft-com:office:smarttags" w:element="country-region">
        <w:r w:rsidRPr="00007278">
          <w:rPr>
            <w:rFonts w:ascii="Comic Sans MS" w:hAnsi="Comic Sans MS"/>
          </w:rPr>
          <w:t>Ecuador</w:t>
        </w:r>
      </w:smartTag>
      <w:r w:rsidRPr="00007278">
        <w:rPr>
          <w:rFonts w:ascii="Comic Sans MS" w:hAnsi="Comic Sans MS"/>
        </w:rPr>
        <w:t xml:space="preserve">, </w:t>
      </w:r>
      <w:smartTag w:uri="urn:schemas-microsoft-com:office:smarttags" w:element="country-region">
        <w:r w:rsidRPr="00007278">
          <w:rPr>
            <w:rFonts w:ascii="Comic Sans MS" w:hAnsi="Comic Sans MS"/>
          </w:rPr>
          <w:t>El Salvador</w:t>
        </w:r>
      </w:smartTag>
      <w:r w:rsidRPr="00007278">
        <w:rPr>
          <w:rFonts w:ascii="Comic Sans MS" w:hAnsi="Comic Sans MS"/>
        </w:rPr>
        <w:t xml:space="preserve">, </w:t>
      </w:r>
      <w:smartTag w:uri="urn:schemas-microsoft-com:office:smarttags" w:element="country-region">
        <w:r w:rsidRPr="00007278">
          <w:rPr>
            <w:rFonts w:ascii="Comic Sans MS" w:hAnsi="Comic Sans MS"/>
          </w:rPr>
          <w:t>Guatemala</w:t>
        </w:r>
      </w:smartTag>
      <w:r w:rsidRPr="00007278">
        <w:rPr>
          <w:rFonts w:ascii="Comic Sans MS" w:hAnsi="Comic Sans MS"/>
        </w:rPr>
        <w:t xml:space="preserve">, </w:t>
      </w:r>
      <w:smartTag w:uri="urn:schemas-microsoft-com:office:smarttags" w:element="country-region">
        <w:r w:rsidRPr="00007278">
          <w:rPr>
            <w:rFonts w:ascii="Comic Sans MS" w:hAnsi="Comic Sans MS"/>
          </w:rPr>
          <w:t>Honduras</w:t>
        </w:r>
      </w:smartTag>
      <w:r w:rsidRPr="00007278">
        <w:rPr>
          <w:rFonts w:ascii="Comic Sans MS" w:hAnsi="Comic Sans MS"/>
        </w:rPr>
        <w:t xml:space="preserve">, </w:t>
      </w:r>
      <w:smartTag w:uri="urn:schemas-microsoft-com:office:smarttags" w:element="country-region">
        <w:r w:rsidRPr="00007278">
          <w:rPr>
            <w:rFonts w:ascii="Comic Sans MS" w:hAnsi="Comic Sans MS"/>
          </w:rPr>
          <w:t>Nicaragua</w:t>
        </w:r>
      </w:smartTag>
      <w:r w:rsidRPr="00007278">
        <w:rPr>
          <w:rFonts w:ascii="Comic Sans MS" w:hAnsi="Comic Sans MS"/>
        </w:rPr>
        <w:t xml:space="preserve">, </w:t>
      </w:r>
      <w:smartTag w:uri="urn:schemas-microsoft-com:office:smarttags" w:element="country-region">
        <w:r w:rsidRPr="00007278">
          <w:rPr>
            <w:rFonts w:ascii="Comic Sans MS" w:hAnsi="Comic Sans MS"/>
          </w:rPr>
          <w:t>Pakistan</w:t>
        </w:r>
      </w:smartTag>
      <w:r w:rsidRPr="00007278">
        <w:rPr>
          <w:rFonts w:ascii="Comic Sans MS" w:hAnsi="Comic Sans MS"/>
        </w:rPr>
        <w:t xml:space="preserve">, </w:t>
      </w:r>
      <w:smartTag w:uri="urn:schemas-microsoft-com:office:smarttags" w:element="country-region">
        <w:r w:rsidRPr="00007278">
          <w:rPr>
            <w:rFonts w:ascii="Comic Sans MS" w:hAnsi="Comic Sans MS"/>
          </w:rPr>
          <w:t>Panama</w:t>
        </w:r>
      </w:smartTag>
      <w:r w:rsidRPr="00007278">
        <w:rPr>
          <w:rFonts w:ascii="Comic Sans MS" w:hAnsi="Comic Sans MS"/>
        </w:rPr>
        <w:t xml:space="preserve">, </w:t>
      </w:r>
      <w:smartTag w:uri="urn:schemas-microsoft-com:office:smarttags" w:element="country-region">
        <w:r w:rsidRPr="00007278">
          <w:rPr>
            <w:rFonts w:ascii="Comic Sans MS" w:hAnsi="Comic Sans MS"/>
          </w:rPr>
          <w:t>Peru</w:t>
        </w:r>
      </w:smartTag>
      <w:r w:rsidRPr="00007278">
        <w:rPr>
          <w:rFonts w:ascii="Comic Sans MS" w:hAnsi="Comic Sans MS"/>
        </w:rPr>
        <w:t xml:space="preserve"> and </w:t>
      </w:r>
      <w:smartTag w:uri="urn:schemas-microsoft-com:office:smarttags" w:element="country-region">
        <w:smartTag w:uri="urn:schemas-microsoft-com:office:smarttags" w:element="place">
          <w:r w:rsidRPr="00007278">
            <w:rPr>
              <w:rFonts w:ascii="Comic Sans MS" w:hAnsi="Comic Sans MS"/>
            </w:rPr>
            <w:t>Venezuela</w:t>
          </w:r>
        </w:smartTag>
      </w:smartTag>
      <w:r w:rsidRPr="00007278">
        <w:rPr>
          <w:rFonts w:ascii="Comic Sans MS" w:hAnsi="Comic Sans MS"/>
        </w:rPr>
        <w:t>.</w:t>
      </w:r>
    </w:p>
  </w:footnote>
  <w:footnote w:id="10">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Paragraph 4, page 3</w:t>
      </w:r>
    </w:p>
  </w:footnote>
  <w:footnote w:id="11">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Paragraph 3, page 1</w:t>
      </w:r>
    </w:p>
  </w:footnote>
  <w:footnote w:id="12">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Page 190 of the CARIS Report</w:t>
      </w:r>
    </w:p>
  </w:footnote>
  <w:footnote w:id="13">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Paragraph 9, preamble of the Proposed Regulation</w:t>
      </w:r>
    </w:p>
  </w:footnote>
  <w:footnote w:id="14">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Page 49 of the CARIS Report</w:t>
      </w:r>
    </w:p>
  </w:footnote>
  <w:footnote w:id="15">
    <w:p w:rsidR="002B60B7" w:rsidRDefault="002B60B7" w:rsidP="000856CF">
      <w:pPr>
        <w:pStyle w:val="FootnoteText"/>
      </w:pPr>
      <w:r w:rsidRPr="00007278">
        <w:rPr>
          <w:rStyle w:val="FootnoteReference"/>
          <w:rFonts w:ascii="Comic Sans MS" w:hAnsi="Comic Sans MS"/>
        </w:rPr>
        <w:footnoteRef/>
      </w:r>
      <w:r w:rsidRPr="00007278">
        <w:rPr>
          <w:rFonts w:ascii="Comic Sans MS" w:hAnsi="Comic Sans MS"/>
        </w:rPr>
        <w:t xml:space="preserve"> Page 54 of the CARIS Report</w:t>
      </w:r>
    </w:p>
  </w:footnote>
  <w:footnote w:id="16">
    <w:p w:rsidR="002B60B7" w:rsidRDefault="002B60B7" w:rsidP="00007B16">
      <w:pPr>
        <w:pStyle w:val="FootnoteText"/>
      </w:pPr>
      <w:r w:rsidRPr="00007278">
        <w:rPr>
          <w:rStyle w:val="FootnoteReference"/>
          <w:rFonts w:ascii="Comic Sans MS" w:hAnsi="Comic Sans MS"/>
        </w:rPr>
        <w:footnoteRef/>
      </w:r>
      <w:r w:rsidRPr="00007278">
        <w:rPr>
          <w:rFonts w:ascii="Comic Sans MS" w:hAnsi="Comic Sans MS"/>
        </w:rPr>
        <w:t xml:space="preserve"> Page 191 of the CARIS Report</w:t>
      </w:r>
    </w:p>
  </w:footnote>
  <w:footnote w:id="17">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Paragraph 4, page1, Explanatory Memorandum</w:t>
      </w:r>
    </w:p>
  </w:footnote>
  <w:footnote w:id="18">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Ibid</w:t>
      </w:r>
    </w:p>
  </w:footnote>
  <w:footnote w:id="19">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Ibid</w:t>
      </w:r>
    </w:p>
  </w:footnote>
  <w:footnote w:id="20">
    <w:p w:rsidR="002B60B7" w:rsidRDefault="002B60B7" w:rsidP="002D147C">
      <w:pPr>
        <w:pStyle w:val="FootnoteText"/>
      </w:pPr>
      <w:r w:rsidRPr="00007278">
        <w:rPr>
          <w:rStyle w:val="FootnoteReference"/>
          <w:rFonts w:ascii="Comic Sans MS" w:hAnsi="Comic Sans MS"/>
        </w:rPr>
        <w:footnoteRef/>
      </w:r>
      <w:r w:rsidRPr="00007278">
        <w:rPr>
          <w:rFonts w:ascii="Comic Sans MS" w:hAnsi="Comic Sans MS"/>
        </w:rPr>
        <w:t xml:space="preserve"> Paragraph 10 of the Explanatory Note</w:t>
      </w:r>
    </w:p>
  </w:footnote>
  <w:footnote w:id="21">
    <w:p w:rsidR="002B60B7" w:rsidRDefault="002B60B7" w:rsidP="002D147C">
      <w:pPr>
        <w:pStyle w:val="FootnoteText"/>
      </w:pPr>
      <w:r w:rsidRPr="00007278">
        <w:rPr>
          <w:rStyle w:val="FootnoteReference"/>
          <w:rFonts w:ascii="Comic Sans MS" w:hAnsi="Comic Sans MS"/>
        </w:rPr>
        <w:footnoteRef/>
      </w:r>
      <w:r w:rsidRPr="00007278">
        <w:rPr>
          <w:rFonts w:ascii="Comic Sans MS" w:hAnsi="Comic Sans MS"/>
        </w:rPr>
        <w:t xml:space="preserve"> Paragraph 10</w:t>
      </w:r>
    </w:p>
  </w:footnote>
  <w:footnote w:id="22">
    <w:p w:rsidR="002B60B7" w:rsidRDefault="002B60B7" w:rsidP="00CE7BF7">
      <w:pPr>
        <w:pStyle w:val="FootnoteText"/>
      </w:pPr>
      <w:r w:rsidRPr="00007278">
        <w:rPr>
          <w:rStyle w:val="FootnoteReference"/>
          <w:rFonts w:ascii="Comic Sans MS" w:hAnsi="Comic Sans MS"/>
        </w:rPr>
        <w:footnoteRef/>
      </w:r>
      <w:r w:rsidRPr="00007278">
        <w:rPr>
          <w:rFonts w:ascii="Comic Sans MS" w:hAnsi="Comic Sans MS"/>
        </w:rPr>
        <w:t xml:space="preserve"> Page 32</w:t>
      </w:r>
    </w:p>
  </w:footnote>
  <w:footnote w:id="23">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Paragraph 23 of the preamble of the proposed Regulation</w:t>
      </w:r>
    </w:p>
  </w:footnote>
  <w:footnote w:id="24">
    <w:p w:rsidR="002B60B7" w:rsidRDefault="002B60B7" w:rsidP="001E149B">
      <w:pPr>
        <w:pStyle w:val="FootnoteText"/>
      </w:pPr>
      <w:r w:rsidRPr="00007278">
        <w:rPr>
          <w:rStyle w:val="FootnoteReference"/>
          <w:rFonts w:ascii="Comic Sans MS" w:hAnsi="Comic Sans MS"/>
        </w:rPr>
        <w:footnoteRef/>
      </w:r>
      <w:r w:rsidRPr="00007278">
        <w:rPr>
          <w:rFonts w:ascii="Comic Sans MS" w:hAnsi="Comic Sans MS"/>
        </w:rPr>
        <w:t xml:space="preserve"> Article 19</w:t>
      </w:r>
    </w:p>
  </w:footnote>
  <w:footnote w:id="25">
    <w:p w:rsidR="002B60B7" w:rsidRDefault="002B60B7" w:rsidP="004378EF">
      <w:pPr>
        <w:autoSpaceDE w:val="0"/>
        <w:autoSpaceDN w:val="0"/>
        <w:adjustRightInd w:val="0"/>
      </w:pPr>
      <w:r w:rsidRPr="004378EF">
        <w:rPr>
          <w:rStyle w:val="FootnoteReference"/>
          <w:rFonts w:ascii="Comic Sans MS" w:hAnsi="Comic Sans MS"/>
          <w:sz w:val="20"/>
          <w:szCs w:val="20"/>
        </w:rPr>
        <w:footnoteRef/>
      </w:r>
      <w:r w:rsidRPr="004378EF">
        <w:rPr>
          <w:rFonts w:ascii="Comic Sans MS" w:hAnsi="Comic Sans MS"/>
          <w:sz w:val="20"/>
          <w:szCs w:val="20"/>
        </w:rPr>
        <w:t xml:space="preserve"> ECDPM Briefing Note, No. 24 April 2001 entitled GSP Reform: Principles, values and coherence, by  </w:t>
      </w:r>
      <w:proofErr w:type="spellStart"/>
      <w:r w:rsidRPr="004378EF">
        <w:rPr>
          <w:rFonts w:ascii="Comic Sans MS" w:hAnsi="Comic Sans MS" w:cs="Arial-ItalicMT"/>
          <w:iCs/>
          <w:color w:val="000000"/>
          <w:sz w:val="20"/>
          <w:szCs w:val="20"/>
        </w:rPr>
        <w:t>Sanoussi</w:t>
      </w:r>
      <w:proofErr w:type="spellEnd"/>
      <w:r w:rsidRPr="004378EF">
        <w:rPr>
          <w:rFonts w:ascii="Comic Sans MS" w:hAnsi="Comic Sans MS" w:cs="Arial-ItalicMT"/>
          <w:iCs/>
          <w:color w:val="000000"/>
          <w:sz w:val="20"/>
          <w:szCs w:val="20"/>
        </w:rPr>
        <w:t xml:space="preserve"> Bilal, Isabelle </w:t>
      </w:r>
      <w:proofErr w:type="spellStart"/>
      <w:r w:rsidRPr="004378EF">
        <w:rPr>
          <w:rFonts w:ascii="Comic Sans MS" w:hAnsi="Comic Sans MS" w:cs="Arial-ItalicMT"/>
          <w:iCs/>
          <w:color w:val="000000"/>
          <w:sz w:val="20"/>
          <w:szCs w:val="20"/>
        </w:rPr>
        <w:t>Ramdoo</w:t>
      </w:r>
      <w:proofErr w:type="spellEnd"/>
      <w:r w:rsidRPr="004378EF">
        <w:rPr>
          <w:rFonts w:ascii="Comic Sans MS" w:hAnsi="Comic Sans MS" w:cs="Arial-ItalicMT"/>
          <w:iCs/>
          <w:color w:val="000000"/>
          <w:sz w:val="20"/>
          <w:szCs w:val="20"/>
        </w:rPr>
        <w:t xml:space="preserve"> and Quentin de </w:t>
      </w:r>
      <w:proofErr w:type="spellStart"/>
      <w:r w:rsidRPr="004378EF">
        <w:rPr>
          <w:rFonts w:ascii="Comic Sans MS" w:hAnsi="Comic Sans MS" w:cs="Arial-ItalicMT"/>
          <w:iCs/>
          <w:color w:val="000000"/>
          <w:sz w:val="20"/>
          <w:szCs w:val="20"/>
        </w:rPr>
        <w:t>Roquefeuil</w:t>
      </w:r>
      <w:proofErr w:type="spellEnd"/>
      <w:r w:rsidRPr="004378EF">
        <w:rPr>
          <w:rFonts w:ascii="Comic Sans MS" w:hAnsi="Comic Sans MS" w:cs="Arial-ItalicMT"/>
          <w:iCs/>
          <w:color w:val="000000"/>
          <w:sz w:val="20"/>
          <w:szCs w:val="20"/>
        </w:rPr>
        <w:t>, page 3</w:t>
      </w:r>
    </w:p>
  </w:footnote>
  <w:footnote w:id="26">
    <w:p w:rsidR="002B60B7" w:rsidRDefault="002B60B7" w:rsidP="000171F4">
      <w:pPr>
        <w:autoSpaceDE w:val="0"/>
        <w:autoSpaceDN w:val="0"/>
        <w:adjustRightInd w:val="0"/>
        <w:jc w:val="both"/>
      </w:pPr>
      <w:r w:rsidRPr="004378EF">
        <w:rPr>
          <w:rStyle w:val="FootnoteReference"/>
          <w:rFonts w:ascii="Comic Sans MS" w:hAnsi="Comic Sans MS"/>
          <w:sz w:val="20"/>
          <w:szCs w:val="20"/>
        </w:rPr>
        <w:footnoteRef/>
      </w:r>
      <w:r w:rsidRPr="004378EF">
        <w:rPr>
          <w:rFonts w:ascii="Comic Sans MS" w:hAnsi="Comic Sans MS"/>
          <w:sz w:val="20"/>
          <w:szCs w:val="20"/>
        </w:rPr>
        <w:t xml:space="preserve"> Article 22 of the Proposal</w:t>
      </w:r>
    </w:p>
  </w:footnote>
  <w:footnote w:id="27">
    <w:p w:rsidR="002B60B7" w:rsidRDefault="002B60B7">
      <w:pPr>
        <w:pStyle w:val="FootnoteText"/>
      </w:pPr>
      <w:r w:rsidRPr="004378EF">
        <w:rPr>
          <w:rStyle w:val="FootnoteReference"/>
          <w:rFonts w:ascii="Comic Sans MS" w:hAnsi="Comic Sans MS"/>
        </w:rPr>
        <w:footnoteRef/>
      </w:r>
      <w:r w:rsidRPr="004378EF">
        <w:rPr>
          <w:rFonts w:ascii="Comic Sans MS" w:hAnsi="Comic Sans MS"/>
        </w:rPr>
        <w:t xml:space="preserve"> In Article 2</w:t>
      </w:r>
    </w:p>
  </w:footnote>
  <w:footnote w:id="28">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(long list)</w:t>
      </w:r>
    </w:p>
  </w:footnote>
  <w:footnote w:id="29">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Article 4(1)(a)</w:t>
      </w:r>
    </w:p>
  </w:footnote>
  <w:footnote w:id="30">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Article 30 of the Proposal</w:t>
      </w:r>
    </w:p>
  </w:footnote>
  <w:footnote w:id="31">
    <w:p w:rsidR="002B60B7" w:rsidRDefault="002B60B7" w:rsidP="007925BA">
      <w:pPr>
        <w:pStyle w:val="FootnoteText"/>
      </w:pPr>
      <w:r w:rsidRPr="00007278">
        <w:rPr>
          <w:rStyle w:val="FootnoteReference"/>
          <w:rFonts w:ascii="Comic Sans MS" w:hAnsi="Comic Sans MS"/>
        </w:rPr>
        <w:footnoteRef/>
      </w:r>
      <w:r w:rsidRPr="00007278">
        <w:rPr>
          <w:rFonts w:ascii="Comic Sans MS" w:hAnsi="Comic Sans MS"/>
        </w:rPr>
        <w:t xml:space="preserve"> Paragraph 4, page 1, Explanatory Memorandum</w:t>
      </w:r>
    </w:p>
  </w:footnote>
  <w:footnote w:id="32">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Paragraph 4 of the Explanatory Memorandum, page 3</w:t>
      </w:r>
    </w:p>
  </w:footnote>
  <w:footnote w:id="33">
    <w:p w:rsidR="002B60B7" w:rsidRDefault="002B60B7" w:rsidP="00B61228">
      <w:pPr>
        <w:pStyle w:val="FootnoteText"/>
      </w:pPr>
      <w:r w:rsidRPr="00007278">
        <w:rPr>
          <w:rStyle w:val="FootnoteReference"/>
          <w:rFonts w:ascii="Comic Sans MS" w:hAnsi="Comic Sans MS"/>
        </w:rPr>
        <w:footnoteRef/>
      </w:r>
      <w:r w:rsidRPr="00007278">
        <w:rPr>
          <w:rFonts w:ascii="Comic Sans MS" w:hAnsi="Comic Sans MS"/>
        </w:rPr>
        <w:t xml:space="preserve"> Paragraph 7.31 of the Report of the Panel</w:t>
      </w:r>
    </w:p>
  </w:footnote>
  <w:footnote w:id="34">
    <w:p w:rsidR="002B60B7" w:rsidRDefault="002B60B7" w:rsidP="00B61228">
      <w:r w:rsidRPr="00007278">
        <w:rPr>
          <w:rStyle w:val="FootnoteReference"/>
          <w:rFonts w:ascii="Comic Sans MS" w:hAnsi="Comic Sans MS"/>
          <w:sz w:val="20"/>
          <w:szCs w:val="20"/>
        </w:rPr>
        <w:footnoteRef/>
      </w:r>
      <w:r w:rsidRPr="00007278">
        <w:rPr>
          <w:rFonts w:ascii="Comic Sans MS" w:hAnsi="Comic Sans MS"/>
          <w:sz w:val="20"/>
          <w:szCs w:val="20"/>
        </w:rPr>
        <w:t xml:space="preserve"> Report of the Panel, WT/DS246/R</w:t>
      </w:r>
      <w:r w:rsidRPr="00007278">
        <w:rPr>
          <w:rFonts w:ascii="Comic Sans MS" w:hAnsi="Comic Sans MS"/>
          <w:b/>
          <w:sz w:val="20"/>
          <w:szCs w:val="20"/>
        </w:rPr>
        <w:t xml:space="preserve">, </w:t>
      </w:r>
      <w:r w:rsidRPr="00007278">
        <w:rPr>
          <w:rFonts w:ascii="Comic Sans MS" w:hAnsi="Comic Sans MS"/>
          <w:sz w:val="20"/>
          <w:szCs w:val="20"/>
        </w:rPr>
        <w:t>and Report of the Appellate Body WT/DS246/AB/R</w:t>
      </w:r>
    </w:p>
  </w:footnote>
  <w:footnote w:id="35">
    <w:p w:rsidR="002B60B7" w:rsidRDefault="002B60B7" w:rsidP="004A2F6D">
      <w:r w:rsidRPr="00007278">
        <w:rPr>
          <w:rStyle w:val="FootnoteReference"/>
          <w:rFonts w:ascii="Comic Sans MS" w:hAnsi="Comic Sans MS"/>
          <w:sz w:val="20"/>
          <w:szCs w:val="20"/>
        </w:rPr>
        <w:footnoteRef/>
      </w:r>
      <w:r w:rsidRPr="00007278">
        <w:rPr>
          <w:rFonts w:ascii="Comic Sans MS" w:hAnsi="Comic Sans MS"/>
          <w:sz w:val="20"/>
          <w:szCs w:val="20"/>
        </w:rPr>
        <w:t xml:space="preserve"> European Communities – Conditions for Granting of Tariff Preferences to Developing Countries, Report of the Panel, WT/DS246/R</w:t>
      </w:r>
      <w:r w:rsidRPr="00007278">
        <w:rPr>
          <w:rFonts w:ascii="Comic Sans MS" w:hAnsi="Comic Sans MS"/>
          <w:b/>
          <w:sz w:val="20"/>
          <w:szCs w:val="20"/>
        </w:rPr>
        <w:t xml:space="preserve">, </w:t>
      </w:r>
      <w:r w:rsidRPr="00007278">
        <w:rPr>
          <w:rFonts w:ascii="Comic Sans MS" w:hAnsi="Comic Sans MS"/>
          <w:sz w:val="20"/>
          <w:szCs w:val="20"/>
        </w:rPr>
        <w:t>1 December 2003</w:t>
      </w:r>
    </w:p>
  </w:footnote>
  <w:footnote w:id="36">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 Bolivia, Colombia, Costa Rica, Ecuador, El Salvador, Guatemala, Honduras, Nicaragua, Pakistan, Panama, Peru and Venezuela.</w:t>
      </w:r>
    </w:p>
  </w:footnote>
  <w:footnote w:id="37">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Paragraph 8.1(d) of the Panel Report</w:t>
      </w:r>
    </w:p>
  </w:footnote>
  <w:footnote w:id="38">
    <w:p w:rsidR="002B60B7" w:rsidRDefault="002B60B7" w:rsidP="00DC2546">
      <w:r w:rsidRPr="00007278">
        <w:rPr>
          <w:rStyle w:val="FootnoteReference"/>
          <w:rFonts w:ascii="Comic Sans MS" w:hAnsi="Comic Sans MS"/>
          <w:sz w:val="20"/>
          <w:szCs w:val="20"/>
        </w:rPr>
        <w:footnoteRef/>
      </w:r>
      <w:r w:rsidRPr="00007278">
        <w:rPr>
          <w:rFonts w:ascii="Comic Sans MS" w:hAnsi="Comic Sans MS"/>
          <w:sz w:val="20"/>
          <w:szCs w:val="20"/>
        </w:rPr>
        <w:t xml:space="preserve"> Paragraph 191(g) of the Appellate Body Report, European Communities – Conditions for the Granting of Tariff Preferences to Developing Countries, WT/DS246/AB/R,</w:t>
      </w:r>
      <w:r w:rsidRPr="00007278">
        <w:rPr>
          <w:rFonts w:ascii="Comic Sans MS" w:hAnsi="Comic Sans MS"/>
          <w:b/>
          <w:sz w:val="20"/>
          <w:szCs w:val="20"/>
        </w:rPr>
        <w:t xml:space="preserve"> </w:t>
      </w:r>
      <w:r w:rsidRPr="00007278">
        <w:rPr>
          <w:rFonts w:ascii="Comic Sans MS" w:hAnsi="Comic Sans MS"/>
          <w:sz w:val="20"/>
          <w:szCs w:val="20"/>
        </w:rPr>
        <w:t xml:space="preserve">7 April 2004 </w:t>
      </w:r>
    </w:p>
  </w:footnote>
  <w:footnote w:id="39">
    <w:p w:rsidR="002B60B7" w:rsidRDefault="002B60B7" w:rsidP="00DE2CDA">
      <w:pPr>
        <w:pStyle w:val="FootnoteText"/>
      </w:pPr>
      <w:r w:rsidRPr="00007278">
        <w:rPr>
          <w:rStyle w:val="FootnoteReference"/>
          <w:rFonts w:ascii="Comic Sans MS" w:hAnsi="Comic Sans MS"/>
        </w:rPr>
        <w:footnoteRef/>
      </w:r>
      <w:r w:rsidRPr="00007278">
        <w:rPr>
          <w:rFonts w:ascii="Comic Sans MS" w:hAnsi="Comic Sans MS"/>
        </w:rPr>
        <w:t xml:space="preserve"> Paragraph 3(c)</w:t>
      </w:r>
    </w:p>
  </w:footnote>
  <w:footnote w:id="40">
    <w:p w:rsidR="002B60B7" w:rsidRDefault="002B60B7" w:rsidP="00DE2CDA">
      <w:pPr>
        <w:pStyle w:val="FootnoteText"/>
      </w:pPr>
      <w:r w:rsidRPr="00007278">
        <w:rPr>
          <w:rStyle w:val="FootnoteReference"/>
          <w:rFonts w:ascii="Comic Sans MS" w:hAnsi="Comic Sans MS"/>
        </w:rPr>
        <w:footnoteRef/>
      </w:r>
      <w:r w:rsidRPr="00007278">
        <w:rPr>
          <w:rFonts w:ascii="Comic Sans MS" w:hAnsi="Comic Sans MS"/>
        </w:rPr>
        <w:t xml:space="preserve"> Paragraph 162 of the Appellate Body report</w:t>
      </w:r>
    </w:p>
  </w:footnote>
  <w:footnote w:id="41">
    <w:p w:rsidR="002B60B7" w:rsidRDefault="002B60B7" w:rsidP="005A2A58">
      <w:pPr>
        <w:pStyle w:val="FootnoteText"/>
      </w:pPr>
      <w:r w:rsidRPr="00007278">
        <w:rPr>
          <w:rStyle w:val="FootnoteReference"/>
          <w:rFonts w:ascii="Comic Sans MS" w:hAnsi="Comic Sans MS"/>
        </w:rPr>
        <w:footnoteRef/>
      </w:r>
      <w:r w:rsidRPr="00007278">
        <w:rPr>
          <w:rFonts w:ascii="Comic Sans MS" w:hAnsi="Comic Sans MS"/>
        </w:rPr>
        <w:t xml:space="preserve"> Paragraph 165 of the Appellate Body Report</w:t>
      </w:r>
    </w:p>
  </w:footnote>
  <w:footnote w:id="42">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Paragraph 169 of the Appellate Body Report</w:t>
      </w:r>
    </w:p>
  </w:footnote>
  <w:footnote w:id="43">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Paragraph 9</w:t>
      </w:r>
    </w:p>
  </w:footnote>
  <w:footnote w:id="44">
    <w:p w:rsidR="002B60B7" w:rsidRDefault="002B60B7" w:rsidP="00E9078F">
      <w:pPr>
        <w:pStyle w:val="FootnoteText"/>
      </w:pPr>
      <w:r w:rsidRPr="00007278">
        <w:rPr>
          <w:rStyle w:val="FootnoteReference"/>
          <w:rFonts w:ascii="Comic Sans MS" w:hAnsi="Comic Sans MS"/>
        </w:rPr>
        <w:footnoteRef/>
      </w:r>
      <w:r w:rsidRPr="00007278">
        <w:rPr>
          <w:rFonts w:ascii="Comic Sans MS" w:hAnsi="Comic Sans MS"/>
        </w:rPr>
        <w:t xml:space="preserve"> Paragraph 163 of the Appellate Body Report</w:t>
      </w:r>
    </w:p>
  </w:footnote>
  <w:footnote w:id="45">
    <w:p w:rsidR="002B60B7" w:rsidRDefault="002B60B7" w:rsidP="006C0EB4">
      <w:pPr>
        <w:pStyle w:val="FootnoteText"/>
      </w:pPr>
      <w:r w:rsidRPr="00007278">
        <w:rPr>
          <w:rStyle w:val="FootnoteReference"/>
          <w:rFonts w:ascii="Comic Sans MS" w:hAnsi="Comic Sans MS"/>
        </w:rPr>
        <w:footnoteRef/>
      </w:r>
      <w:r w:rsidRPr="00007278">
        <w:rPr>
          <w:rFonts w:ascii="Comic Sans MS" w:hAnsi="Comic Sans MS"/>
        </w:rPr>
        <w:t xml:space="preserve"> Paragraph 4, page1, Explanatory Memorandum</w:t>
      </w:r>
    </w:p>
  </w:footnote>
  <w:footnote w:id="46">
    <w:p w:rsidR="002B60B7" w:rsidRDefault="002B60B7" w:rsidP="006C0EB4">
      <w:pPr>
        <w:pStyle w:val="FootnoteText"/>
      </w:pPr>
      <w:r w:rsidRPr="00007278">
        <w:rPr>
          <w:rStyle w:val="FootnoteReference"/>
          <w:rFonts w:ascii="Comic Sans MS" w:hAnsi="Comic Sans MS"/>
        </w:rPr>
        <w:footnoteRef/>
      </w:r>
      <w:r w:rsidRPr="00007278">
        <w:rPr>
          <w:rFonts w:ascii="Comic Sans MS" w:hAnsi="Comic Sans MS"/>
        </w:rPr>
        <w:t xml:space="preserve"> </w:t>
      </w:r>
      <w:r w:rsidRPr="00A17D5E">
        <w:rPr>
          <w:rFonts w:ascii="Comic Sans MS" w:hAnsi="Comic Sans MS"/>
          <w:i/>
        </w:rPr>
        <w:t>Ibid</w:t>
      </w:r>
    </w:p>
  </w:footnote>
  <w:footnote w:id="47">
    <w:p w:rsidR="002B60B7" w:rsidRDefault="002B60B7">
      <w:pPr>
        <w:pStyle w:val="FootnoteText"/>
      </w:pPr>
      <w:r>
        <w:rPr>
          <w:rStyle w:val="FootnoteReference"/>
        </w:rPr>
        <w:footnoteRef/>
      </w:r>
      <w:r>
        <w:t xml:space="preserve"> </w:t>
      </w:r>
      <w:r w:rsidRPr="00723A04">
        <w:rPr>
          <w:rFonts w:ascii="Comic Sans MS" w:hAnsi="Comic Sans MS"/>
        </w:rPr>
        <w:t>http://www.dawn.com/2011/05/31/middle-income-status.html</w:t>
      </w:r>
    </w:p>
  </w:footnote>
  <w:footnote w:id="48">
    <w:p w:rsidR="002B60B7" w:rsidRDefault="002B60B7">
      <w:pPr>
        <w:pStyle w:val="FootnoteText"/>
      </w:pPr>
      <w:r>
        <w:rPr>
          <w:rStyle w:val="FootnoteReference"/>
        </w:rPr>
        <w:footnoteRef/>
      </w:r>
      <w:r>
        <w:t xml:space="preserve"> </w:t>
      </w:r>
      <w:r w:rsidRPr="00723A04">
        <w:rPr>
          <w:rFonts w:ascii="Comic Sans MS" w:hAnsi="Comic Sans MS"/>
        </w:rPr>
        <w:t>Ibid</w:t>
      </w:r>
    </w:p>
  </w:footnote>
  <w:footnote w:id="49">
    <w:p w:rsidR="002B60B7" w:rsidRDefault="002B60B7">
      <w:pPr>
        <w:pStyle w:val="FootnoteText"/>
      </w:pPr>
      <w:r>
        <w:rPr>
          <w:rStyle w:val="FootnoteReference"/>
        </w:rPr>
        <w:footnoteRef/>
      </w:r>
      <w:r>
        <w:t xml:space="preserve"> </w:t>
      </w:r>
      <w:r w:rsidRPr="007724B9">
        <w:rPr>
          <w:rFonts w:ascii="Comic Sans MS" w:hAnsi="Comic Sans MS"/>
        </w:rPr>
        <w:t>Para 3 of the Preamble of the proposed Regulation</w:t>
      </w:r>
    </w:p>
  </w:footnote>
  <w:footnote w:id="50">
    <w:p w:rsidR="002B60B7" w:rsidRDefault="002B60B7">
      <w:pPr>
        <w:pStyle w:val="FootnoteText"/>
      </w:pPr>
      <w:r w:rsidRPr="00723A04">
        <w:rPr>
          <w:rStyle w:val="FootnoteReference"/>
          <w:rFonts w:ascii="Comic Sans MS" w:hAnsi="Comic Sans MS"/>
        </w:rPr>
        <w:footnoteRef/>
      </w:r>
      <w:r w:rsidRPr="00723A04">
        <w:rPr>
          <w:rFonts w:ascii="Comic Sans MS" w:hAnsi="Comic Sans MS"/>
        </w:rPr>
        <w:t xml:space="preserve"> Ibid</w:t>
      </w:r>
    </w:p>
  </w:footnote>
  <w:footnote w:id="51">
    <w:p w:rsidR="002B60B7" w:rsidRDefault="002B60B7">
      <w:pPr>
        <w:pStyle w:val="FootnoteText"/>
      </w:pPr>
      <w:r w:rsidRPr="00723A04">
        <w:rPr>
          <w:rStyle w:val="FootnoteReference"/>
          <w:rFonts w:ascii="Comic Sans MS" w:hAnsi="Comic Sans MS"/>
        </w:rPr>
        <w:footnoteRef/>
      </w:r>
      <w:r w:rsidRPr="00723A04">
        <w:rPr>
          <w:rFonts w:ascii="Comic Sans MS" w:hAnsi="Comic Sans MS"/>
        </w:rPr>
        <w:t xml:space="preserve"> Ibid</w:t>
      </w:r>
    </w:p>
  </w:footnote>
  <w:footnote w:id="52">
    <w:p w:rsidR="002B60B7" w:rsidRDefault="002B60B7" w:rsidP="00FD55B8">
      <w:pPr>
        <w:pStyle w:val="FootnoteText"/>
      </w:pPr>
      <w:r w:rsidRPr="00007278">
        <w:rPr>
          <w:rStyle w:val="FootnoteReference"/>
          <w:rFonts w:ascii="Comic Sans MS" w:hAnsi="Comic Sans MS"/>
        </w:rPr>
        <w:footnoteRef/>
      </w:r>
      <w:r w:rsidRPr="00007278">
        <w:rPr>
          <w:rFonts w:ascii="Comic Sans MS" w:hAnsi="Comic Sans MS"/>
        </w:rPr>
        <w:t xml:space="preserve"> Report of the Panel, paragraph 7.100</w:t>
      </w:r>
    </w:p>
  </w:footnote>
  <w:footnote w:id="53">
    <w:p w:rsidR="002B60B7" w:rsidRDefault="002B60B7" w:rsidP="00BB5578">
      <w:pPr>
        <w:pStyle w:val="FootnoteText"/>
      </w:pPr>
      <w:r w:rsidRPr="00007278">
        <w:rPr>
          <w:rStyle w:val="FootnoteReference"/>
          <w:rFonts w:ascii="Comic Sans MS" w:hAnsi="Comic Sans MS"/>
        </w:rPr>
        <w:footnoteRef/>
      </w:r>
      <w:r w:rsidRPr="00007278">
        <w:rPr>
          <w:rFonts w:ascii="Comic Sans MS" w:hAnsi="Comic Sans MS"/>
        </w:rPr>
        <w:t xml:space="preserve"> Report of the Panel, paragraph 7.102</w:t>
      </w:r>
    </w:p>
  </w:footnote>
  <w:footnote w:id="54">
    <w:p w:rsidR="002B60B7" w:rsidRDefault="002B60B7" w:rsidP="009566C1">
      <w:pPr>
        <w:pStyle w:val="FootnoteText"/>
      </w:pPr>
      <w:r w:rsidRPr="00007278">
        <w:rPr>
          <w:rStyle w:val="FootnoteReference"/>
          <w:rFonts w:ascii="Comic Sans MS" w:hAnsi="Comic Sans MS"/>
        </w:rPr>
        <w:footnoteRef/>
      </w:r>
      <w:r w:rsidRPr="00007278">
        <w:rPr>
          <w:rFonts w:ascii="Comic Sans MS" w:hAnsi="Comic Sans MS"/>
        </w:rPr>
        <w:t xml:space="preserve"> </w:t>
      </w:r>
      <w:proofErr w:type="gramStart"/>
      <w:r w:rsidRPr="00007278">
        <w:rPr>
          <w:rFonts w:ascii="Comic Sans MS" w:hAnsi="Comic Sans MS"/>
        </w:rPr>
        <w:t>Paragraph 7.95 of the Panel Report.</w:t>
      </w:r>
      <w:proofErr w:type="gramEnd"/>
      <w:r w:rsidRPr="00007278">
        <w:rPr>
          <w:rFonts w:ascii="Comic Sans MS" w:hAnsi="Comic Sans MS"/>
        </w:rPr>
        <w:t xml:space="preserve"> Resolution 21(II) itself did not set up the details of the GSP arrangements. Agreed Conclusions resulting from the negotiations mandated by the Resolution did set out the details.</w:t>
      </w:r>
    </w:p>
  </w:footnote>
  <w:footnote w:id="55">
    <w:p w:rsidR="002B60B7" w:rsidRDefault="002B60B7">
      <w:pPr>
        <w:pStyle w:val="FootnoteText"/>
      </w:pPr>
      <w:r>
        <w:rPr>
          <w:rStyle w:val="FootnoteReference"/>
        </w:rPr>
        <w:footnoteRef/>
      </w:r>
      <w:r>
        <w:t xml:space="preserve"> </w:t>
      </w:r>
      <w:proofErr w:type="spellStart"/>
      <w:r w:rsidRPr="00D2545A">
        <w:rPr>
          <w:rFonts w:ascii="Comic Sans MS" w:hAnsi="Comic Sans MS"/>
        </w:rPr>
        <w:t>Mynamar</w:t>
      </w:r>
      <w:proofErr w:type="spellEnd"/>
      <w:r w:rsidRPr="00D2545A">
        <w:rPr>
          <w:rFonts w:ascii="Comic Sans MS" w:hAnsi="Comic Sans MS"/>
        </w:rPr>
        <w:t xml:space="preserve"> and Belarus</w:t>
      </w:r>
    </w:p>
  </w:footnote>
  <w:footnote w:id="56">
    <w:p w:rsidR="002B60B7" w:rsidRDefault="002B60B7">
      <w:pPr>
        <w:pStyle w:val="FootnoteText"/>
      </w:pPr>
      <w:r w:rsidRPr="005109CA">
        <w:rPr>
          <w:rStyle w:val="FootnoteReference"/>
          <w:rFonts w:ascii="Comic Sans MS" w:hAnsi="Comic Sans MS"/>
        </w:rPr>
        <w:footnoteRef/>
      </w:r>
      <w:r w:rsidRPr="005109CA">
        <w:rPr>
          <w:rFonts w:ascii="Comic Sans MS" w:hAnsi="Comic Sans MS"/>
        </w:rPr>
        <w:t xml:space="preserve"> Panel Report, </w:t>
      </w:r>
      <w:proofErr w:type="spellStart"/>
      <w:r w:rsidRPr="005109CA">
        <w:rPr>
          <w:rFonts w:ascii="Comic Sans MS" w:hAnsi="Comic Sans MS"/>
        </w:rPr>
        <w:t>para</w:t>
      </w:r>
      <w:proofErr w:type="spellEnd"/>
      <w:r w:rsidRPr="005109CA">
        <w:rPr>
          <w:rFonts w:ascii="Comic Sans MS" w:hAnsi="Comic Sans MS"/>
        </w:rPr>
        <w:t xml:space="preserve"> 7.177</w:t>
      </w:r>
    </w:p>
  </w:footnote>
  <w:footnote w:id="57">
    <w:p w:rsidR="002B60B7" w:rsidRDefault="002B60B7" w:rsidP="00E06B45">
      <w:pPr>
        <w:pStyle w:val="FootnoteText"/>
      </w:pPr>
      <w:r w:rsidRPr="00007278">
        <w:rPr>
          <w:rStyle w:val="FootnoteReference"/>
          <w:rFonts w:ascii="Comic Sans MS" w:hAnsi="Comic Sans MS"/>
        </w:rPr>
        <w:footnoteRef/>
      </w:r>
      <w:r w:rsidRPr="00007278">
        <w:rPr>
          <w:rFonts w:ascii="Comic Sans MS" w:hAnsi="Comic Sans MS"/>
        </w:rPr>
        <w:t xml:space="preserve"> Pages 83 and 109 of the CARIS Report</w:t>
      </w:r>
    </w:p>
  </w:footnote>
  <w:footnote w:id="58">
    <w:p w:rsidR="002B60B7" w:rsidRDefault="002B60B7">
      <w:pPr>
        <w:pStyle w:val="FootnoteText"/>
      </w:pPr>
      <w:r>
        <w:rPr>
          <w:rStyle w:val="FootnoteReference"/>
        </w:rPr>
        <w:footnoteRef/>
      </w:r>
      <w:r>
        <w:t xml:space="preserve"> </w:t>
      </w:r>
      <w:r w:rsidRPr="00D809C4">
        <w:rPr>
          <w:rFonts w:ascii="Comic Sans MS" w:hAnsi="Comic Sans MS"/>
        </w:rPr>
        <w:t>Paragraph 11 of the preamble of the proposed Regulation</w:t>
      </w:r>
    </w:p>
  </w:footnote>
  <w:footnote w:id="59">
    <w:p w:rsidR="002B60B7" w:rsidRDefault="002B60B7">
      <w:pPr>
        <w:pStyle w:val="FootnoteText"/>
      </w:pPr>
      <w:r w:rsidRPr="00007278">
        <w:rPr>
          <w:rStyle w:val="FootnoteReference"/>
          <w:rFonts w:ascii="Comic Sans MS" w:hAnsi="Comic Sans MS"/>
        </w:rPr>
        <w:footnoteRef/>
      </w:r>
      <w:r w:rsidRPr="00007278">
        <w:rPr>
          <w:rFonts w:ascii="Comic Sans MS" w:hAnsi="Comic Sans MS"/>
        </w:rPr>
        <w:t xml:space="preserve"> Page 187</w:t>
      </w:r>
    </w:p>
  </w:footnote>
  <w:footnote w:id="60">
    <w:p w:rsidR="002B60B7" w:rsidRDefault="002B60B7">
      <w:pPr>
        <w:pStyle w:val="FootnoteText"/>
      </w:pPr>
      <w:r w:rsidRPr="005714E5">
        <w:rPr>
          <w:rStyle w:val="FootnoteReference"/>
          <w:rFonts w:ascii="Comic Sans MS" w:hAnsi="Comic Sans MS"/>
        </w:rPr>
        <w:footnoteRef/>
      </w:r>
      <w:r w:rsidRPr="005714E5">
        <w:rPr>
          <w:rFonts w:ascii="Comic Sans MS" w:hAnsi="Comic Sans MS"/>
        </w:rPr>
        <w:t xml:space="preserve"> The CARIS Report, page 190</w:t>
      </w:r>
    </w:p>
  </w:footnote>
  <w:footnote w:id="61">
    <w:p w:rsidR="002B60B7" w:rsidRDefault="002B60B7">
      <w:pPr>
        <w:pStyle w:val="FootnoteText"/>
      </w:pPr>
      <w:r w:rsidRPr="005714E5">
        <w:rPr>
          <w:rStyle w:val="FootnoteReference"/>
          <w:rFonts w:ascii="Comic Sans MS" w:hAnsi="Comic Sans MS"/>
        </w:rPr>
        <w:footnoteRef/>
      </w:r>
      <w:r w:rsidRPr="005714E5">
        <w:rPr>
          <w:rFonts w:ascii="Comic Sans MS" w:hAnsi="Comic Sans MS"/>
        </w:rPr>
        <w:t xml:space="preserve"> Ibid</w:t>
      </w:r>
    </w:p>
  </w:footnote>
  <w:footnote w:id="62">
    <w:p w:rsidR="002B60B7" w:rsidRDefault="002B60B7">
      <w:pPr>
        <w:pStyle w:val="FootnoteText"/>
      </w:pPr>
      <w:r w:rsidRPr="005714E5">
        <w:rPr>
          <w:rStyle w:val="FootnoteReference"/>
          <w:rFonts w:ascii="Comic Sans MS" w:hAnsi="Comic Sans MS"/>
        </w:rPr>
        <w:footnoteRef/>
      </w:r>
      <w:r w:rsidRPr="005714E5">
        <w:rPr>
          <w:rFonts w:ascii="Comic Sans MS" w:hAnsi="Comic Sans MS"/>
        </w:rPr>
        <w:t xml:space="preserve"> Referred to in Article 9(1)(c),(d) and (e) of the proposed regulation</w:t>
      </w:r>
    </w:p>
  </w:footnote>
  <w:footnote w:id="63">
    <w:p w:rsidR="002B60B7" w:rsidRPr="00706FAB" w:rsidRDefault="002B60B7" w:rsidP="005714E5">
      <w:pPr>
        <w:autoSpaceDE w:val="0"/>
        <w:autoSpaceDN w:val="0"/>
        <w:adjustRightInd w:val="0"/>
        <w:jc w:val="both"/>
        <w:rPr>
          <w:lang w:val="fr-CH"/>
        </w:rPr>
      </w:pPr>
      <w:r w:rsidRPr="005714E5">
        <w:rPr>
          <w:rStyle w:val="FootnoteReference"/>
          <w:rFonts w:ascii="Comic Sans MS" w:hAnsi="Comic Sans MS"/>
          <w:sz w:val="20"/>
          <w:szCs w:val="20"/>
        </w:rPr>
        <w:footnoteRef/>
      </w:r>
      <w:r w:rsidRPr="00676D06">
        <w:rPr>
          <w:rFonts w:ascii="Comic Sans MS" w:hAnsi="Comic Sans MS"/>
          <w:sz w:val="20"/>
          <w:szCs w:val="20"/>
          <w:lang w:val="fr-FR"/>
        </w:rPr>
        <w:t xml:space="preserve"> Article 15(2) </w:t>
      </w:r>
    </w:p>
  </w:footnote>
  <w:footnote w:id="64">
    <w:p w:rsidR="002B60B7" w:rsidRPr="00706FAB" w:rsidRDefault="002B60B7">
      <w:pPr>
        <w:pStyle w:val="FootnoteText"/>
        <w:rPr>
          <w:lang w:val="fr-CH"/>
        </w:rPr>
      </w:pPr>
      <w:r w:rsidRPr="00007278">
        <w:rPr>
          <w:rStyle w:val="FootnoteReference"/>
          <w:rFonts w:ascii="Comic Sans MS" w:hAnsi="Comic Sans MS"/>
        </w:rPr>
        <w:footnoteRef/>
      </w:r>
      <w:r w:rsidRPr="00676D06">
        <w:rPr>
          <w:rFonts w:ascii="Comic Sans MS" w:hAnsi="Comic Sans MS"/>
          <w:lang w:val="fr-FR"/>
        </w:rPr>
        <w:t xml:space="preserve"> Page 173</w:t>
      </w:r>
    </w:p>
  </w:footnote>
  <w:footnote w:id="65">
    <w:p w:rsidR="002B60B7" w:rsidRPr="00706FAB" w:rsidRDefault="002B60B7">
      <w:pPr>
        <w:pStyle w:val="FootnoteText"/>
        <w:rPr>
          <w:lang w:val="fr-CH"/>
        </w:rPr>
      </w:pPr>
      <w:r w:rsidRPr="00007278">
        <w:rPr>
          <w:rStyle w:val="FootnoteReference"/>
          <w:rFonts w:ascii="Comic Sans MS" w:hAnsi="Comic Sans MS"/>
        </w:rPr>
        <w:footnoteRef/>
      </w:r>
      <w:r w:rsidRPr="00676D06">
        <w:rPr>
          <w:rFonts w:ascii="Comic Sans MS" w:hAnsi="Comic Sans MS"/>
          <w:lang w:val="fr-FR"/>
        </w:rPr>
        <w:t xml:space="preserve"> Page 187</w:t>
      </w:r>
    </w:p>
  </w:footnote>
  <w:footnote w:id="66">
    <w:p w:rsidR="002B60B7" w:rsidRPr="00706FAB" w:rsidRDefault="002B60B7" w:rsidP="004A2F6D">
      <w:pPr>
        <w:jc w:val="both"/>
        <w:rPr>
          <w:lang w:val="fr-CH"/>
        </w:rPr>
      </w:pPr>
      <w:r w:rsidRPr="00007278">
        <w:rPr>
          <w:rStyle w:val="FootnoteReference"/>
          <w:rFonts w:ascii="Comic Sans MS" w:hAnsi="Comic Sans MS"/>
          <w:sz w:val="20"/>
          <w:szCs w:val="20"/>
        </w:rPr>
        <w:footnoteRef/>
      </w:r>
      <w:r w:rsidRPr="00676D06">
        <w:rPr>
          <w:rFonts w:ascii="Comic Sans MS" w:hAnsi="Comic Sans MS"/>
          <w:sz w:val="20"/>
          <w:szCs w:val="20"/>
          <w:lang w:val="fr-FR"/>
        </w:rPr>
        <w:t xml:space="preserve"> </w:t>
      </w:r>
      <w:hyperlink r:id="rId1" w:history="1">
        <w:r w:rsidRPr="00676D06">
          <w:rPr>
            <w:rStyle w:val="Hyperlink"/>
            <w:rFonts w:ascii="Comic Sans MS" w:hAnsi="Comic Sans MS"/>
            <w:sz w:val="20"/>
            <w:szCs w:val="20"/>
            <w:lang w:val="fr-FR"/>
          </w:rPr>
          <w:t>http://genevalunch.com/blog/tag/michael-punke/</w:t>
        </w:r>
      </w:hyperlink>
    </w:p>
  </w:footnote>
  <w:footnote w:id="67">
    <w:p w:rsidR="002B60B7" w:rsidRDefault="002B60B7" w:rsidP="009C5CCC">
      <w:pPr>
        <w:pStyle w:val="FootnoteText"/>
      </w:pPr>
      <w:r w:rsidRPr="00007278">
        <w:rPr>
          <w:rStyle w:val="FootnoteReference"/>
          <w:rFonts w:ascii="Comic Sans MS" w:hAnsi="Comic Sans MS"/>
        </w:rPr>
        <w:footnoteRef/>
      </w:r>
      <w:r w:rsidRPr="00007278">
        <w:rPr>
          <w:rFonts w:ascii="Comic Sans MS" w:hAnsi="Comic Sans MS"/>
        </w:rPr>
        <w:t xml:space="preserve"> Article 19</w:t>
      </w:r>
    </w:p>
  </w:footnote>
  <w:footnote w:id="68">
    <w:p w:rsidR="002B60B7" w:rsidRDefault="002B60B7" w:rsidP="00274EB3">
      <w:pPr>
        <w:autoSpaceDE w:val="0"/>
        <w:autoSpaceDN w:val="0"/>
        <w:adjustRightInd w:val="0"/>
      </w:pPr>
      <w:r w:rsidRPr="00007278">
        <w:rPr>
          <w:rStyle w:val="FootnoteReference"/>
          <w:rFonts w:ascii="Comic Sans MS" w:hAnsi="Comic Sans MS"/>
          <w:sz w:val="20"/>
          <w:szCs w:val="20"/>
        </w:rPr>
        <w:footnoteRef/>
      </w:r>
      <w:r w:rsidRPr="00007278">
        <w:rPr>
          <w:rFonts w:ascii="Comic Sans MS" w:hAnsi="Comic Sans MS"/>
          <w:sz w:val="20"/>
          <w:szCs w:val="20"/>
        </w:rPr>
        <w:t xml:space="preserve"> ECDPM</w:t>
      </w:r>
      <w:r>
        <w:rPr>
          <w:rFonts w:ascii="Comic Sans MS" w:hAnsi="Comic Sans MS"/>
          <w:sz w:val="20"/>
          <w:szCs w:val="20"/>
        </w:rPr>
        <w:t xml:space="preserve"> Briefing Note, No. 24 April 201</w:t>
      </w:r>
      <w:r w:rsidRPr="00007278">
        <w:rPr>
          <w:rFonts w:ascii="Comic Sans MS" w:hAnsi="Comic Sans MS"/>
          <w:sz w:val="20"/>
          <w:szCs w:val="20"/>
        </w:rPr>
        <w:t xml:space="preserve">1 entitled GSP Reform: Principles, values and coherence, by  </w:t>
      </w:r>
      <w:proofErr w:type="spellStart"/>
      <w:r w:rsidRPr="00007278">
        <w:rPr>
          <w:rFonts w:ascii="Comic Sans MS" w:hAnsi="Comic Sans MS" w:cs="Arial-ItalicMT"/>
          <w:iCs/>
          <w:color w:val="000000"/>
          <w:sz w:val="20"/>
          <w:szCs w:val="20"/>
        </w:rPr>
        <w:t>Sanoussi</w:t>
      </w:r>
      <w:proofErr w:type="spellEnd"/>
      <w:r w:rsidRPr="00007278">
        <w:rPr>
          <w:rFonts w:ascii="Comic Sans MS" w:hAnsi="Comic Sans MS" w:cs="Arial-ItalicMT"/>
          <w:iCs/>
          <w:color w:val="000000"/>
          <w:sz w:val="20"/>
          <w:szCs w:val="20"/>
        </w:rPr>
        <w:t xml:space="preserve"> Bilal, Isabelle </w:t>
      </w:r>
      <w:proofErr w:type="spellStart"/>
      <w:r w:rsidRPr="00007278">
        <w:rPr>
          <w:rFonts w:ascii="Comic Sans MS" w:hAnsi="Comic Sans MS" w:cs="Arial-ItalicMT"/>
          <w:iCs/>
          <w:color w:val="000000"/>
          <w:sz w:val="20"/>
          <w:szCs w:val="20"/>
        </w:rPr>
        <w:t>Ramdoo</w:t>
      </w:r>
      <w:proofErr w:type="spellEnd"/>
      <w:r w:rsidRPr="00007278">
        <w:rPr>
          <w:rFonts w:ascii="Comic Sans MS" w:hAnsi="Comic Sans MS" w:cs="Arial-ItalicMT"/>
          <w:iCs/>
          <w:color w:val="000000"/>
          <w:sz w:val="20"/>
          <w:szCs w:val="20"/>
        </w:rPr>
        <w:t xml:space="preserve"> and Quentin de </w:t>
      </w:r>
      <w:proofErr w:type="spellStart"/>
      <w:r w:rsidRPr="00007278">
        <w:rPr>
          <w:rFonts w:ascii="Comic Sans MS" w:hAnsi="Comic Sans MS" w:cs="Arial-ItalicMT"/>
          <w:iCs/>
          <w:color w:val="000000"/>
          <w:sz w:val="20"/>
          <w:szCs w:val="20"/>
        </w:rPr>
        <w:t>Roquefeuil</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51C"/>
    <w:multiLevelType w:val="hybridMultilevel"/>
    <w:tmpl w:val="D9FAC486"/>
    <w:lvl w:ilvl="0" w:tplc="DB26D842">
      <w:start w:val="1"/>
      <w:numFmt w:val="lowerLetter"/>
      <w:lvlText w:val="(%1)"/>
      <w:lvlJc w:val="left"/>
      <w:pPr>
        <w:tabs>
          <w:tab w:val="num" w:pos="360"/>
        </w:tabs>
        <w:ind w:left="360" w:hanging="360"/>
      </w:pPr>
      <w:rPr>
        <w:rFonts w:cs="Times New Roman" w:hint="default"/>
      </w:rPr>
    </w:lvl>
    <w:lvl w:ilvl="1" w:tplc="E59E7960">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DC33734"/>
    <w:multiLevelType w:val="multilevel"/>
    <w:tmpl w:val="83863D9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720"/>
        </w:tabs>
        <w:ind w:left="720" w:hanging="720"/>
      </w:pPr>
      <w:rPr>
        <w:rFonts w:cs="Times New Roman"/>
      </w:rPr>
    </w:lvl>
    <w:lvl w:ilvl="4">
      <w:start w:val="1"/>
      <w:numFmt w:val="decimal"/>
      <w:lvlRestart w:val="0"/>
      <w:lvlText w:val="%5."/>
      <w:lvlJc w:val="left"/>
      <w:pPr>
        <w:tabs>
          <w:tab w:val="num" w:pos="360"/>
        </w:tabs>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lowerLetter"/>
      <w:lvlText w:val="(%8)"/>
      <w:lvlJc w:val="left"/>
      <w:pPr>
        <w:tabs>
          <w:tab w:val="num" w:pos="1800"/>
        </w:tabs>
        <w:ind w:left="1440"/>
      </w:pPr>
      <w:rPr>
        <w:rFonts w:cs="Times New Roman"/>
      </w:rPr>
    </w:lvl>
    <w:lvl w:ilvl="8">
      <w:start w:val="1"/>
      <w:numFmt w:val="lowerRoman"/>
      <w:pStyle w:val="BodyText5"/>
      <w:lvlText w:val="(%9)"/>
      <w:lvlJc w:val="left"/>
      <w:pPr>
        <w:tabs>
          <w:tab w:val="num" w:pos="2880"/>
        </w:tabs>
        <w:ind w:left="2160"/>
      </w:pPr>
      <w:rPr>
        <w:rFonts w:cs="Times New Roman"/>
      </w:rPr>
    </w:lvl>
  </w:abstractNum>
  <w:abstractNum w:abstractNumId="2">
    <w:nsid w:val="0EAE6828"/>
    <w:multiLevelType w:val="hybridMultilevel"/>
    <w:tmpl w:val="6152005E"/>
    <w:lvl w:ilvl="0" w:tplc="D122B17C">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4F6832"/>
    <w:multiLevelType w:val="hybridMultilevel"/>
    <w:tmpl w:val="54F82CD0"/>
    <w:lvl w:ilvl="0" w:tplc="F32EACF8">
      <w:start w:val="1"/>
      <w:numFmt w:val="lowerRoman"/>
      <w:lvlText w:val="(%1)"/>
      <w:lvlJc w:val="left"/>
      <w:pPr>
        <w:ind w:left="1440" w:hanging="1080"/>
      </w:pPr>
      <w:rPr>
        <w:rFonts w:cs="Times New Roman" w:hint="default"/>
      </w:rPr>
    </w:lvl>
    <w:lvl w:ilvl="1" w:tplc="30090019" w:tentative="1">
      <w:start w:val="1"/>
      <w:numFmt w:val="lowerLetter"/>
      <w:lvlText w:val="%2."/>
      <w:lvlJc w:val="left"/>
      <w:pPr>
        <w:ind w:left="1440" w:hanging="360"/>
      </w:pPr>
      <w:rPr>
        <w:rFonts w:cs="Times New Roman"/>
      </w:rPr>
    </w:lvl>
    <w:lvl w:ilvl="2" w:tplc="3009001B" w:tentative="1">
      <w:start w:val="1"/>
      <w:numFmt w:val="lowerRoman"/>
      <w:lvlText w:val="%3."/>
      <w:lvlJc w:val="right"/>
      <w:pPr>
        <w:ind w:left="2160" w:hanging="180"/>
      </w:pPr>
      <w:rPr>
        <w:rFonts w:cs="Times New Roman"/>
      </w:rPr>
    </w:lvl>
    <w:lvl w:ilvl="3" w:tplc="3009000F" w:tentative="1">
      <w:start w:val="1"/>
      <w:numFmt w:val="decimal"/>
      <w:lvlText w:val="%4."/>
      <w:lvlJc w:val="left"/>
      <w:pPr>
        <w:ind w:left="2880" w:hanging="360"/>
      </w:pPr>
      <w:rPr>
        <w:rFonts w:cs="Times New Roman"/>
      </w:rPr>
    </w:lvl>
    <w:lvl w:ilvl="4" w:tplc="30090019" w:tentative="1">
      <w:start w:val="1"/>
      <w:numFmt w:val="lowerLetter"/>
      <w:lvlText w:val="%5."/>
      <w:lvlJc w:val="left"/>
      <w:pPr>
        <w:ind w:left="3600" w:hanging="360"/>
      </w:pPr>
      <w:rPr>
        <w:rFonts w:cs="Times New Roman"/>
      </w:rPr>
    </w:lvl>
    <w:lvl w:ilvl="5" w:tplc="3009001B" w:tentative="1">
      <w:start w:val="1"/>
      <w:numFmt w:val="lowerRoman"/>
      <w:lvlText w:val="%6."/>
      <w:lvlJc w:val="right"/>
      <w:pPr>
        <w:ind w:left="4320" w:hanging="180"/>
      </w:pPr>
      <w:rPr>
        <w:rFonts w:cs="Times New Roman"/>
      </w:rPr>
    </w:lvl>
    <w:lvl w:ilvl="6" w:tplc="3009000F" w:tentative="1">
      <w:start w:val="1"/>
      <w:numFmt w:val="decimal"/>
      <w:lvlText w:val="%7."/>
      <w:lvlJc w:val="left"/>
      <w:pPr>
        <w:ind w:left="5040" w:hanging="360"/>
      </w:pPr>
      <w:rPr>
        <w:rFonts w:cs="Times New Roman"/>
      </w:rPr>
    </w:lvl>
    <w:lvl w:ilvl="7" w:tplc="30090019" w:tentative="1">
      <w:start w:val="1"/>
      <w:numFmt w:val="lowerLetter"/>
      <w:lvlText w:val="%8."/>
      <w:lvlJc w:val="left"/>
      <w:pPr>
        <w:ind w:left="5760" w:hanging="360"/>
      </w:pPr>
      <w:rPr>
        <w:rFonts w:cs="Times New Roman"/>
      </w:rPr>
    </w:lvl>
    <w:lvl w:ilvl="8" w:tplc="3009001B" w:tentative="1">
      <w:start w:val="1"/>
      <w:numFmt w:val="lowerRoman"/>
      <w:lvlText w:val="%9."/>
      <w:lvlJc w:val="right"/>
      <w:pPr>
        <w:ind w:left="6480" w:hanging="180"/>
      </w:pPr>
      <w:rPr>
        <w:rFonts w:cs="Times New Roman"/>
      </w:rPr>
    </w:lvl>
  </w:abstractNum>
  <w:abstractNum w:abstractNumId="4">
    <w:nsid w:val="2AEF3DC9"/>
    <w:multiLevelType w:val="hybridMultilevel"/>
    <w:tmpl w:val="CD1A1CCA"/>
    <w:lvl w:ilvl="0" w:tplc="3B92DEB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C900D8"/>
    <w:multiLevelType w:val="multilevel"/>
    <w:tmpl w:val="57361B66"/>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720"/>
        </w:tabs>
        <w:ind w:left="720" w:hanging="720"/>
      </w:pPr>
      <w:rPr>
        <w:rFonts w:cs="Times New Roman"/>
      </w:rPr>
    </w:lvl>
    <w:lvl w:ilvl="2">
      <w:start w:val="1"/>
      <w:numFmt w:val="decimal"/>
      <w:pStyle w:val="Heading3"/>
      <w:lvlText w:val="%3."/>
      <w:lvlJc w:val="left"/>
      <w:pPr>
        <w:tabs>
          <w:tab w:val="num" w:pos="720"/>
        </w:tabs>
        <w:ind w:left="720" w:hanging="720"/>
      </w:pPr>
      <w:rPr>
        <w:rFonts w:ascii="Times New Roman" w:eastAsia="Times New Roman" w:hAnsi="Times New Roman" w:cs="Times New Roman"/>
      </w:rPr>
    </w:lvl>
    <w:lvl w:ilvl="3">
      <w:start w:val="1"/>
      <w:numFmt w:val="lowerLetter"/>
      <w:pStyle w:val="Heading4"/>
      <w:lvlText w:val="(%4)"/>
      <w:lvlJc w:val="left"/>
      <w:pPr>
        <w:tabs>
          <w:tab w:val="num" w:pos="720"/>
        </w:tabs>
        <w:ind w:left="720" w:hanging="720"/>
      </w:pPr>
      <w:rPr>
        <w:rFonts w:cs="Times New Roman"/>
      </w:rPr>
    </w:lvl>
    <w:lvl w:ilvl="4">
      <w:start w:val="1"/>
      <w:numFmt w:val="lowerRoman"/>
      <w:pStyle w:val="Heading5"/>
      <w:lvlText w:val="(%5)"/>
      <w:lvlJc w:val="left"/>
      <w:pPr>
        <w:tabs>
          <w:tab w:val="num" w:pos="720"/>
        </w:tabs>
        <w:ind w:left="720" w:hanging="720"/>
      </w:pPr>
      <w:rPr>
        <w:rFonts w:cs="Times New Roman"/>
      </w:rPr>
    </w:lvl>
    <w:lvl w:ilvl="5">
      <w:start w:val="1"/>
      <w:numFmt w:val="decimal"/>
      <w:lvlRestart w:val="0"/>
      <w:pStyle w:val="BodyText"/>
      <w:isLgl/>
      <w:lvlText w:val="%1.%6"/>
      <w:lvlJc w:val="left"/>
      <w:pPr>
        <w:tabs>
          <w:tab w:val="num" w:pos="360"/>
        </w:tabs>
      </w:pPr>
      <w:rPr>
        <w:rFonts w:cs="Times New Roman"/>
        <w:b w:val="0"/>
        <w:i w:val="0"/>
      </w:rPr>
    </w:lvl>
    <w:lvl w:ilvl="6">
      <w:start w:val="1"/>
      <w:numFmt w:val="lowerLetter"/>
      <w:pStyle w:val="BodyText2"/>
      <w:lvlText w:val="(%7)"/>
      <w:lvlJc w:val="left"/>
      <w:pPr>
        <w:tabs>
          <w:tab w:val="num" w:pos="1440"/>
        </w:tabs>
        <w:ind w:left="1440" w:hanging="720"/>
      </w:pPr>
      <w:rPr>
        <w:rFonts w:cs="Times New Roman"/>
      </w:rPr>
    </w:lvl>
    <w:lvl w:ilvl="7">
      <w:start w:val="1"/>
      <w:numFmt w:val="lowerRoman"/>
      <w:pStyle w:val="BodyText3"/>
      <w:lvlText w:val="(%8)"/>
      <w:lvlJc w:val="left"/>
      <w:pPr>
        <w:tabs>
          <w:tab w:val="num" w:pos="2160"/>
        </w:tabs>
        <w:ind w:left="2160" w:hanging="720"/>
      </w:pPr>
      <w:rPr>
        <w:rFonts w:cs="Times New Roman"/>
      </w:rPr>
    </w:lvl>
    <w:lvl w:ilvl="8">
      <w:start w:val="1"/>
      <w:numFmt w:val="none"/>
      <w:pStyle w:val="BodyText4"/>
      <w:lvlText w:val="-"/>
      <w:lvlJc w:val="left"/>
      <w:pPr>
        <w:tabs>
          <w:tab w:val="num" w:pos="2160"/>
        </w:tabs>
        <w:ind w:left="2160" w:hanging="720"/>
      </w:pPr>
      <w:rPr>
        <w:rFonts w:cs="Times New Roman"/>
      </w:rPr>
    </w:lvl>
  </w:abstractNum>
  <w:num w:numId="1">
    <w:abstractNumId w:val="5"/>
  </w:num>
  <w:num w:numId="2">
    <w:abstractNumId w:val="1"/>
  </w:num>
  <w:num w:numId="3">
    <w:abstractNumId w:val="0"/>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1A"/>
    <w:rsid w:val="00006E92"/>
    <w:rsid w:val="00007278"/>
    <w:rsid w:val="00007B16"/>
    <w:rsid w:val="0001036D"/>
    <w:rsid w:val="000153BE"/>
    <w:rsid w:val="000169B7"/>
    <w:rsid w:val="000171F4"/>
    <w:rsid w:val="0001746D"/>
    <w:rsid w:val="0001784D"/>
    <w:rsid w:val="00023C30"/>
    <w:rsid w:val="00043211"/>
    <w:rsid w:val="00051FFC"/>
    <w:rsid w:val="000571B4"/>
    <w:rsid w:val="000724AB"/>
    <w:rsid w:val="00075F12"/>
    <w:rsid w:val="000856CF"/>
    <w:rsid w:val="000859EB"/>
    <w:rsid w:val="00086F6B"/>
    <w:rsid w:val="000B0B2F"/>
    <w:rsid w:val="000B29C8"/>
    <w:rsid w:val="000C2C30"/>
    <w:rsid w:val="000C4BDF"/>
    <w:rsid w:val="000D03B0"/>
    <w:rsid w:val="000E4424"/>
    <w:rsid w:val="000E4ABC"/>
    <w:rsid w:val="000E5183"/>
    <w:rsid w:val="000E6C9C"/>
    <w:rsid w:val="000F1761"/>
    <w:rsid w:val="000F183B"/>
    <w:rsid w:val="000F2451"/>
    <w:rsid w:val="000F51AF"/>
    <w:rsid w:val="00123534"/>
    <w:rsid w:val="00136AF5"/>
    <w:rsid w:val="0015472B"/>
    <w:rsid w:val="00155F52"/>
    <w:rsid w:val="00165273"/>
    <w:rsid w:val="001731A0"/>
    <w:rsid w:val="00183DBE"/>
    <w:rsid w:val="00192C19"/>
    <w:rsid w:val="001A4B83"/>
    <w:rsid w:val="001B3B1B"/>
    <w:rsid w:val="001C17F0"/>
    <w:rsid w:val="001C2648"/>
    <w:rsid w:val="001C29FF"/>
    <w:rsid w:val="001C7C91"/>
    <w:rsid w:val="001D0CFA"/>
    <w:rsid w:val="001D6B7A"/>
    <w:rsid w:val="001E149B"/>
    <w:rsid w:val="001E5461"/>
    <w:rsid w:val="001F4529"/>
    <w:rsid w:val="002035CF"/>
    <w:rsid w:val="002124BB"/>
    <w:rsid w:val="00222EE3"/>
    <w:rsid w:val="00240B97"/>
    <w:rsid w:val="00245095"/>
    <w:rsid w:val="0024705B"/>
    <w:rsid w:val="002475A4"/>
    <w:rsid w:val="00263688"/>
    <w:rsid w:val="00266C07"/>
    <w:rsid w:val="0026734C"/>
    <w:rsid w:val="00274EB3"/>
    <w:rsid w:val="00286C98"/>
    <w:rsid w:val="00293D1E"/>
    <w:rsid w:val="00294C09"/>
    <w:rsid w:val="00295BD4"/>
    <w:rsid w:val="002A2379"/>
    <w:rsid w:val="002A3791"/>
    <w:rsid w:val="002B60B7"/>
    <w:rsid w:val="002C476F"/>
    <w:rsid w:val="002C6FBA"/>
    <w:rsid w:val="002D147C"/>
    <w:rsid w:val="002E7108"/>
    <w:rsid w:val="002F0CDF"/>
    <w:rsid w:val="002F282D"/>
    <w:rsid w:val="00320305"/>
    <w:rsid w:val="003347AA"/>
    <w:rsid w:val="003358E3"/>
    <w:rsid w:val="0034625D"/>
    <w:rsid w:val="003724E4"/>
    <w:rsid w:val="00376889"/>
    <w:rsid w:val="00380C9F"/>
    <w:rsid w:val="00390A93"/>
    <w:rsid w:val="003B54A3"/>
    <w:rsid w:val="003C3BA9"/>
    <w:rsid w:val="003D290A"/>
    <w:rsid w:val="003E5029"/>
    <w:rsid w:val="003F15E9"/>
    <w:rsid w:val="003F5ADE"/>
    <w:rsid w:val="003F62A5"/>
    <w:rsid w:val="003F651F"/>
    <w:rsid w:val="004044F8"/>
    <w:rsid w:val="00406791"/>
    <w:rsid w:val="00432900"/>
    <w:rsid w:val="00437253"/>
    <w:rsid w:val="004378EF"/>
    <w:rsid w:val="0044014E"/>
    <w:rsid w:val="0045225A"/>
    <w:rsid w:val="00457168"/>
    <w:rsid w:val="00466D89"/>
    <w:rsid w:val="00466E44"/>
    <w:rsid w:val="00484A47"/>
    <w:rsid w:val="00486894"/>
    <w:rsid w:val="00495875"/>
    <w:rsid w:val="004A2F6D"/>
    <w:rsid w:val="004A350E"/>
    <w:rsid w:val="004A7867"/>
    <w:rsid w:val="004B683B"/>
    <w:rsid w:val="004C6951"/>
    <w:rsid w:val="004D124C"/>
    <w:rsid w:val="004D273F"/>
    <w:rsid w:val="004D2E80"/>
    <w:rsid w:val="004D5F11"/>
    <w:rsid w:val="004E1837"/>
    <w:rsid w:val="004E2A12"/>
    <w:rsid w:val="004E3118"/>
    <w:rsid w:val="004E59B4"/>
    <w:rsid w:val="005109CA"/>
    <w:rsid w:val="00514677"/>
    <w:rsid w:val="005211F5"/>
    <w:rsid w:val="00526F96"/>
    <w:rsid w:val="00531CC8"/>
    <w:rsid w:val="005521DE"/>
    <w:rsid w:val="00563B4F"/>
    <w:rsid w:val="005658A6"/>
    <w:rsid w:val="005714E5"/>
    <w:rsid w:val="00575E11"/>
    <w:rsid w:val="00576E57"/>
    <w:rsid w:val="0058681E"/>
    <w:rsid w:val="005872E2"/>
    <w:rsid w:val="00592AE9"/>
    <w:rsid w:val="005A2A58"/>
    <w:rsid w:val="005B756D"/>
    <w:rsid w:val="005B784D"/>
    <w:rsid w:val="005C7107"/>
    <w:rsid w:val="005E57C7"/>
    <w:rsid w:val="005E69AA"/>
    <w:rsid w:val="005F62C0"/>
    <w:rsid w:val="006048CB"/>
    <w:rsid w:val="00607062"/>
    <w:rsid w:val="00613332"/>
    <w:rsid w:val="00616A50"/>
    <w:rsid w:val="00660FD2"/>
    <w:rsid w:val="006628A8"/>
    <w:rsid w:val="00663713"/>
    <w:rsid w:val="006712F7"/>
    <w:rsid w:val="00676D06"/>
    <w:rsid w:val="0068248F"/>
    <w:rsid w:val="00690CB7"/>
    <w:rsid w:val="00692C06"/>
    <w:rsid w:val="006A309A"/>
    <w:rsid w:val="006A6AEF"/>
    <w:rsid w:val="006B642B"/>
    <w:rsid w:val="006B7004"/>
    <w:rsid w:val="006B73B2"/>
    <w:rsid w:val="006C0EB4"/>
    <w:rsid w:val="006C14C3"/>
    <w:rsid w:val="006D03E2"/>
    <w:rsid w:val="006D1D38"/>
    <w:rsid w:val="006D7370"/>
    <w:rsid w:val="006E04D8"/>
    <w:rsid w:val="006E192F"/>
    <w:rsid w:val="006E20F3"/>
    <w:rsid w:val="00706FAB"/>
    <w:rsid w:val="007142E7"/>
    <w:rsid w:val="00715BDD"/>
    <w:rsid w:val="00717A97"/>
    <w:rsid w:val="007200C8"/>
    <w:rsid w:val="0072191F"/>
    <w:rsid w:val="00723A04"/>
    <w:rsid w:val="007252A1"/>
    <w:rsid w:val="00726204"/>
    <w:rsid w:val="00731613"/>
    <w:rsid w:val="00750CBD"/>
    <w:rsid w:val="0075618E"/>
    <w:rsid w:val="00761343"/>
    <w:rsid w:val="00771BE0"/>
    <w:rsid w:val="007724B9"/>
    <w:rsid w:val="00774FC0"/>
    <w:rsid w:val="00777884"/>
    <w:rsid w:val="0078384D"/>
    <w:rsid w:val="007925BA"/>
    <w:rsid w:val="00795232"/>
    <w:rsid w:val="007A0921"/>
    <w:rsid w:val="007A2243"/>
    <w:rsid w:val="007B7865"/>
    <w:rsid w:val="007B7E92"/>
    <w:rsid w:val="007C0685"/>
    <w:rsid w:val="007C0B87"/>
    <w:rsid w:val="007D7160"/>
    <w:rsid w:val="007E4E4E"/>
    <w:rsid w:val="00800703"/>
    <w:rsid w:val="008032EF"/>
    <w:rsid w:val="00807983"/>
    <w:rsid w:val="00816708"/>
    <w:rsid w:val="00820DA6"/>
    <w:rsid w:val="008218BA"/>
    <w:rsid w:val="00846D96"/>
    <w:rsid w:val="00847760"/>
    <w:rsid w:val="00852CA8"/>
    <w:rsid w:val="00861ACD"/>
    <w:rsid w:val="00866E92"/>
    <w:rsid w:val="00871297"/>
    <w:rsid w:val="008971CA"/>
    <w:rsid w:val="008A6A1A"/>
    <w:rsid w:val="008B11C8"/>
    <w:rsid w:val="008B2CA6"/>
    <w:rsid w:val="008B5EBC"/>
    <w:rsid w:val="008C067B"/>
    <w:rsid w:val="008C53BF"/>
    <w:rsid w:val="008C608B"/>
    <w:rsid w:val="008C79CB"/>
    <w:rsid w:val="008D25C5"/>
    <w:rsid w:val="008D296E"/>
    <w:rsid w:val="008F0814"/>
    <w:rsid w:val="009042C7"/>
    <w:rsid w:val="00911FCF"/>
    <w:rsid w:val="00922D3E"/>
    <w:rsid w:val="009246B3"/>
    <w:rsid w:val="00926135"/>
    <w:rsid w:val="009267FC"/>
    <w:rsid w:val="0093724B"/>
    <w:rsid w:val="0094766A"/>
    <w:rsid w:val="00952942"/>
    <w:rsid w:val="009535F7"/>
    <w:rsid w:val="009566C1"/>
    <w:rsid w:val="00957AA8"/>
    <w:rsid w:val="0096137F"/>
    <w:rsid w:val="00966B27"/>
    <w:rsid w:val="00985AD1"/>
    <w:rsid w:val="0098707E"/>
    <w:rsid w:val="00992DCA"/>
    <w:rsid w:val="00996A9B"/>
    <w:rsid w:val="009A0EAF"/>
    <w:rsid w:val="009A4040"/>
    <w:rsid w:val="009A7B1D"/>
    <w:rsid w:val="009B351A"/>
    <w:rsid w:val="009C5CCC"/>
    <w:rsid w:val="009D5454"/>
    <w:rsid w:val="009E5F49"/>
    <w:rsid w:val="009F1D72"/>
    <w:rsid w:val="00A0027F"/>
    <w:rsid w:val="00A01FD3"/>
    <w:rsid w:val="00A1035A"/>
    <w:rsid w:val="00A17D5E"/>
    <w:rsid w:val="00A3396D"/>
    <w:rsid w:val="00A64130"/>
    <w:rsid w:val="00A67DFB"/>
    <w:rsid w:val="00A7007B"/>
    <w:rsid w:val="00A84E36"/>
    <w:rsid w:val="00A900D5"/>
    <w:rsid w:val="00A91240"/>
    <w:rsid w:val="00AD53B5"/>
    <w:rsid w:val="00AF079C"/>
    <w:rsid w:val="00AF0F22"/>
    <w:rsid w:val="00AF5466"/>
    <w:rsid w:val="00B02693"/>
    <w:rsid w:val="00B20EC7"/>
    <w:rsid w:val="00B341DB"/>
    <w:rsid w:val="00B503DD"/>
    <w:rsid w:val="00B5339C"/>
    <w:rsid w:val="00B61228"/>
    <w:rsid w:val="00B71905"/>
    <w:rsid w:val="00B86FF1"/>
    <w:rsid w:val="00B8732C"/>
    <w:rsid w:val="00B93D43"/>
    <w:rsid w:val="00B96681"/>
    <w:rsid w:val="00BB305B"/>
    <w:rsid w:val="00BB5578"/>
    <w:rsid w:val="00BB72F5"/>
    <w:rsid w:val="00BC0313"/>
    <w:rsid w:val="00BC7B1B"/>
    <w:rsid w:val="00BD35FF"/>
    <w:rsid w:val="00BE5005"/>
    <w:rsid w:val="00BE5C3A"/>
    <w:rsid w:val="00C002A0"/>
    <w:rsid w:val="00C0380E"/>
    <w:rsid w:val="00C05EB0"/>
    <w:rsid w:val="00C144B5"/>
    <w:rsid w:val="00C15D7A"/>
    <w:rsid w:val="00C26A66"/>
    <w:rsid w:val="00C3270A"/>
    <w:rsid w:val="00C335A0"/>
    <w:rsid w:val="00C36C40"/>
    <w:rsid w:val="00C4109C"/>
    <w:rsid w:val="00C45ECB"/>
    <w:rsid w:val="00C6531E"/>
    <w:rsid w:val="00C66900"/>
    <w:rsid w:val="00C70F7E"/>
    <w:rsid w:val="00CB4FCC"/>
    <w:rsid w:val="00CC4D8B"/>
    <w:rsid w:val="00CD5FFD"/>
    <w:rsid w:val="00CE70F3"/>
    <w:rsid w:val="00CE7BF7"/>
    <w:rsid w:val="00D01FE6"/>
    <w:rsid w:val="00D0260E"/>
    <w:rsid w:val="00D03A44"/>
    <w:rsid w:val="00D13FB8"/>
    <w:rsid w:val="00D14CE3"/>
    <w:rsid w:val="00D2545A"/>
    <w:rsid w:val="00D43F75"/>
    <w:rsid w:val="00D519AD"/>
    <w:rsid w:val="00D57E54"/>
    <w:rsid w:val="00D60591"/>
    <w:rsid w:val="00D67A99"/>
    <w:rsid w:val="00D777CE"/>
    <w:rsid w:val="00D809C4"/>
    <w:rsid w:val="00D854E5"/>
    <w:rsid w:val="00D9030A"/>
    <w:rsid w:val="00D934AB"/>
    <w:rsid w:val="00D94829"/>
    <w:rsid w:val="00DC2546"/>
    <w:rsid w:val="00DD1921"/>
    <w:rsid w:val="00DD33DC"/>
    <w:rsid w:val="00DE2CDA"/>
    <w:rsid w:val="00DE3106"/>
    <w:rsid w:val="00DF631C"/>
    <w:rsid w:val="00E06B45"/>
    <w:rsid w:val="00E11AA7"/>
    <w:rsid w:val="00E22DD2"/>
    <w:rsid w:val="00E27FFE"/>
    <w:rsid w:val="00E30445"/>
    <w:rsid w:val="00E30904"/>
    <w:rsid w:val="00E65886"/>
    <w:rsid w:val="00E70E74"/>
    <w:rsid w:val="00E72D4A"/>
    <w:rsid w:val="00E758F8"/>
    <w:rsid w:val="00E83664"/>
    <w:rsid w:val="00E9078F"/>
    <w:rsid w:val="00E93CB7"/>
    <w:rsid w:val="00EB1210"/>
    <w:rsid w:val="00EC1887"/>
    <w:rsid w:val="00EC1FC0"/>
    <w:rsid w:val="00EC253F"/>
    <w:rsid w:val="00ED77AC"/>
    <w:rsid w:val="00EE03F2"/>
    <w:rsid w:val="00EE6385"/>
    <w:rsid w:val="00EE7EF0"/>
    <w:rsid w:val="00EF4228"/>
    <w:rsid w:val="00EF6C8E"/>
    <w:rsid w:val="00F02906"/>
    <w:rsid w:val="00F256DD"/>
    <w:rsid w:val="00F27158"/>
    <w:rsid w:val="00F275A9"/>
    <w:rsid w:val="00F27B67"/>
    <w:rsid w:val="00F336E5"/>
    <w:rsid w:val="00F35747"/>
    <w:rsid w:val="00F43C16"/>
    <w:rsid w:val="00F44B5B"/>
    <w:rsid w:val="00F52EA2"/>
    <w:rsid w:val="00F5595D"/>
    <w:rsid w:val="00F56FF4"/>
    <w:rsid w:val="00F821C0"/>
    <w:rsid w:val="00FC1ED7"/>
    <w:rsid w:val="00FC6EAD"/>
    <w:rsid w:val="00FD0452"/>
    <w:rsid w:val="00FD55B8"/>
    <w:rsid w:val="00FD6A19"/>
    <w:rsid w:val="00FD755D"/>
    <w:rsid w:val="00FE2AC9"/>
    <w:rsid w:val="00FF1F81"/>
    <w:rsid w:val="00F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54"/>
    <w:rPr>
      <w:sz w:val="24"/>
      <w:szCs w:val="24"/>
    </w:rPr>
  </w:style>
  <w:style w:type="paragraph" w:styleId="Heading1">
    <w:name w:val="heading 1"/>
    <w:basedOn w:val="Normal"/>
    <w:next w:val="Heading2"/>
    <w:link w:val="Heading1Char"/>
    <w:uiPriority w:val="99"/>
    <w:qFormat/>
    <w:rsid w:val="00C335A0"/>
    <w:pPr>
      <w:keepNext/>
      <w:numPr>
        <w:numId w:val="1"/>
      </w:numPr>
      <w:spacing w:after="240"/>
      <w:jc w:val="both"/>
      <w:outlineLvl w:val="0"/>
    </w:pPr>
    <w:rPr>
      <w:b/>
      <w:caps/>
      <w:sz w:val="22"/>
      <w:szCs w:val="20"/>
      <w:lang w:val="en-GB" w:eastAsia="en-GB"/>
    </w:rPr>
  </w:style>
  <w:style w:type="paragraph" w:styleId="Heading2">
    <w:name w:val="heading 2"/>
    <w:basedOn w:val="Normal"/>
    <w:next w:val="Heading3"/>
    <w:link w:val="Heading2Char"/>
    <w:uiPriority w:val="99"/>
    <w:qFormat/>
    <w:rsid w:val="00C335A0"/>
    <w:pPr>
      <w:keepNext/>
      <w:numPr>
        <w:ilvl w:val="1"/>
        <w:numId w:val="1"/>
      </w:numPr>
      <w:spacing w:after="240"/>
      <w:jc w:val="both"/>
      <w:outlineLvl w:val="1"/>
    </w:pPr>
    <w:rPr>
      <w:smallCaps/>
      <w:sz w:val="22"/>
      <w:szCs w:val="20"/>
      <w:lang w:val="en-GB" w:eastAsia="en-GB"/>
    </w:rPr>
  </w:style>
  <w:style w:type="paragraph" w:styleId="Heading3">
    <w:name w:val="heading 3"/>
    <w:basedOn w:val="Normal"/>
    <w:next w:val="Heading4"/>
    <w:link w:val="Heading3Char"/>
    <w:uiPriority w:val="99"/>
    <w:qFormat/>
    <w:rsid w:val="00C335A0"/>
    <w:pPr>
      <w:keepNext/>
      <w:numPr>
        <w:ilvl w:val="2"/>
        <w:numId w:val="1"/>
      </w:numPr>
      <w:spacing w:after="240"/>
      <w:jc w:val="both"/>
      <w:outlineLvl w:val="2"/>
    </w:pPr>
    <w:rPr>
      <w:b/>
      <w:sz w:val="22"/>
      <w:szCs w:val="20"/>
      <w:lang w:val="en-GB" w:eastAsia="en-GB"/>
    </w:rPr>
  </w:style>
  <w:style w:type="paragraph" w:styleId="Heading4">
    <w:name w:val="heading 4"/>
    <w:basedOn w:val="Normal"/>
    <w:next w:val="Heading5"/>
    <w:link w:val="Heading4Char"/>
    <w:uiPriority w:val="99"/>
    <w:qFormat/>
    <w:rsid w:val="00C335A0"/>
    <w:pPr>
      <w:keepNext/>
      <w:numPr>
        <w:ilvl w:val="3"/>
        <w:numId w:val="1"/>
      </w:numPr>
      <w:spacing w:after="240"/>
      <w:jc w:val="both"/>
      <w:outlineLvl w:val="3"/>
    </w:pPr>
    <w:rPr>
      <w:sz w:val="22"/>
      <w:szCs w:val="20"/>
      <w:lang w:val="en-GB" w:eastAsia="en-GB"/>
    </w:rPr>
  </w:style>
  <w:style w:type="paragraph" w:styleId="Heading5">
    <w:name w:val="heading 5"/>
    <w:basedOn w:val="Normal"/>
    <w:next w:val="BodyText"/>
    <w:link w:val="Heading5Char"/>
    <w:uiPriority w:val="99"/>
    <w:qFormat/>
    <w:rsid w:val="00C335A0"/>
    <w:pPr>
      <w:numPr>
        <w:ilvl w:val="4"/>
        <w:numId w:val="1"/>
      </w:numPr>
      <w:spacing w:after="240"/>
      <w:jc w:val="both"/>
      <w:outlineLvl w:val="4"/>
    </w:pPr>
    <w:rPr>
      <w:i/>
      <w:sz w:val="22"/>
      <w:szCs w:val="20"/>
      <w:lang w:val="en-GB" w:eastAsia="en-GB"/>
    </w:rPr>
  </w:style>
  <w:style w:type="paragraph" w:styleId="Heading6">
    <w:name w:val="heading 6"/>
    <w:basedOn w:val="Normal"/>
    <w:next w:val="Normal"/>
    <w:link w:val="Heading6Char"/>
    <w:uiPriority w:val="99"/>
    <w:qFormat/>
    <w:rsid w:val="0001036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8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28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28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28A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D28A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D28A6"/>
    <w:rPr>
      <w:rFonts w:asciiTheme="minorHAnsi" w:eastAsiaTheme="minorEastAsia" w:hAnsiTheme="minorHAnsi" w:cstheme="minorBidi"/>
      <w:b/>
      <w:bCs/>
    </w:rPr>
  </w:style>
  <w:style w:type="paragraph" w:styleId="FootnoteText">
    <w:name w:val="footnote text"/>
    <w:aliases w:val="fn,Footnotes,Footnote ak"/>
    <w:basedOn w:val="Normal"/>
    <w:link w:val="FootnoteTextChar1"/>
    <w:uiPriority w:val="99"/>
    <w:semiHidden/>
    <w:rsid w:val="00266C07"/>
    <w:rPr>
      <w:sz w:val="20"/>
      <w:szCs w:val="20"/>
    </w:rPr>
  </w:style>
  <w:style w:type="character" w:customStyle="1" w:styleId="FootnoteTextChar">
    <w:name w:val="Footnote Text Char"/>
    <w:aliases w:val="fn Char,Footnotes Char,Footnote ak Char"/>
    <w:basedOn w:val="DefaultParagraphFont"/>
    <w:uiPriority w:val="99"/>
    <w:semiHidden/>
    <w:rsid w:val="006D28A6"/>
    <w:rPr>
      <w:sz w:val="20"/>
      <w:szCs w:val="20"/>
    </w:rPr>
  </w:style>
  <w:style w:type="character" w:styleId="FootnoteReference">
    <w:name w:val="footnote reference"/>
    <w:aliases w:val="Ref,de nota al pie"/>
    <w:basedOn w:val="DefaultParagraphFont"/>
    <w:uiPriority w:val="99"/>
    <w:semiHidden/>
    <w:rsid w:val="00266C07"/>
    <w:rPr>
      <w:rFonts w:cs="Times New Roman"/>
      <w:vertAlign w:val="superscript"/>
    </w:rPr>
  </w:style>
  <w:style w:type="paragraph" w:styleId="Footer">
    <w:name w:val="footer"/>
    <w:basedOn w:val="Normal"/>
    <w:link w:val="FooterChar"/>
    <w:uiPriority w:val="99"/>
    <w:rsid w:val="00E83664"/>
    <w:pPr>
      <w:tabs>
        <w:tab w:val="center" w:pos="4320"/>
        <w:tab w:val="right" w:pos="8640"/>
      </w:tabs>
    </w:pPr>
  </w:style>
  <w:style w:type="character" w:customStyle="1" w:styleId="FooterChar">
    <w:name w:val="Footer Char"/>
    <w:basedOn w:val="DefaultParagraphFont"/>
    <w:link w:val="Footer"/>
    <w:uiPriority w:val="99"/>
    <w:locked/>
    <w:rsid w:val="00D03A44"/>
    <w:rPr>
      <w:sz w:val="24"/>
      <w:lang w:val="en-US" w:eastAsia="en-US"/>
    </w:rPr>
  </w:style>
  <w:style w:type="character" w:styleId="PageNumber">
    <w:name w:val="page number"/>
    <w:basedOn w:val="DefaultParagraphFont"/>
    <w:uiPriority w:val="99"/>
    <w:rsid w:val="00E83664"/>
    <w:rPr>
      <w:rFonts w:cs="Times New Roman"/>
    </w:rPr>
  </w:style>
  <w:style w:type="paragraph" w:styleId="BodyText">
    <w:name w:val="Body Text"/>
    <w:basedOn w:val="Normal"/>
    <w:link w:val="BodyTextChar"/>
    <w:uiPriority w:val="99"/>
    <w:rsid w:val="00C335A0"/>
    <w:pPr>
      <w:numPr>
        <w:ilvl w:val="5"/>
        <w:numId w:val="1"/>
      </w:numPr>
      <w:spacing w:after="240"/>
      <w:jc w:val="both"/>
    </w:pPr>
    <w:rPr>
      <w:sz w:val="22"/>
      <w:szCs w:val="20"/>
      <w:lang w:val="en-GB" w:eastAsia="en-GB"/>
    </w:rPr>
  </w:style>
  <w:style w:type="character" w:customStyle="1" w:styleId="BodyTextChar">
    <w:name w:val="Body Text Char"/>
    <w:basedOn w:val="DefaultParagraphFont"/>
    <w:link w:val="BodyText"/>
    <w:uiPriority w:val="99"/>
    <w:semiHidden/>
    <w:rsid w:val="006D28A6"/>
    <w:rPr>
      <w:sz w:val="24"/>
      <w:szCs w:val="24"/>
    </w:rPr>
  </w:style>
  <w:style w:type="paragraph" w:styleId="BodyText2">
    <w:name w:val="Body Text 2"/>
    <w:basedOn w:val="Normal"/>
    <w:link w:val="BodyText2Char"/>
    <w:uiPriority w:val="99"/>
    <w:rsid w:val="00C335A0"/>
    <w:pPr>
      <w:numPr>
        <w:ilvl w:val="6"/>
        <w:numId w:val="1"/>
      </w:numPr>
      <w:spacing w:after="240"/>
      <w:jc w:val="both"/>
    </w:pPr>
    <w:rPr>
      <w:sz w:val="22"/>
      <w:szCs w:val="20"/>
      <w:lang w:val="en-GB" w:eastAsia="en-GB"/>
    </w:rPr>
  </w:style>
  <w:style w:type="character" w:customStyle="1" w:styleId="BodyText2Char">
    <w:name w:val="Body Text 2 Char"/>
    <w:basedOn w:val="DefaultParagraphFont"/>
    <w:link w:val="BodyText2"/>
    <w:uiPriority w:val="99"/>
    <w:semiHidden/>
    <w:rsid w:val="006D28A6"/>
    <w:rPr>
      <w:sz w:val="24"/>
      <w:szCs w:val="24"/>
    </w:rPr>
  </w:style>
  <w:style w:type="paragraph" w:styleId="BodyText3">
    <w:name w:val="Body Text 3"/>
    <w:basedOn w:val="Normal"/>
    <w:link w:val="BodyText3Char"/>
    <w:uiPriority w:val="99"/>
    <w:rsid w:val="00C335A0"/>
    <w:pPr>
      <w:numPr>
        <w:ilvl w:val="7"/>
        <w:numId w:val="1"/>
      </w:numPr>
      <w:spacing w:after="240"/>
      <w:jc w:val="both"/>
    </w:pPr>
    <w:rPr>
      <w:sz w:val="22"/>
      <w:szCs w:val="20"/>
      <w:lang w:val="en-GB" w:eastAsia="en-GB"/>
    </w:rPr>
  </w:style>
  <w:style w:type="character" w:customStyle="1" w:styleId="BodyText3Char">
    <w:name w:val="Body Text 3 Char"/>
    <w:basedOn w:val="DefaultParagraphFont"/>
    <w:link w:val="BodyText3"/>
    <w:uiPriority w:val="99"/>
    <w:semiHidden/>
    <w:rsid w:val="006D28A6"/>
    <w:rPr>
      <w:sz w:val="16"/>
      <w:szCs w:val="16"/>
    </w:rPr>
  </w:style>
  <w:style w:type="paragraph" w:customStyle="1" w:styleId="BodyText4">
    <w:name w:val="Body Text 4"/>
    <w:basedOn w:val="Normal"/>
    <w:uiPriority w:val="99"/>
    <w:rsid w:val="00C335A0"/>
    <w:pPr>
      <w:numPr>
        <w:ilvl w:val="8"/>
        <w:numId w:val="1"/>
      </w:numPr>
      <w:spacing w:after="240"/>
      <w:jc w:val="both"/>
    </w:pPr>
    <w:rPr>
      <w:sz w:val="22"/>
      <w:szCs w:val="20"/>
      <w:lang w:val="en-GB" w:eastAsia="en-GB"/>
    </w:rPr>
  </w:style>
  <w:style w:type="paragraph" w:customStyle="1" w:styleId="Quotation">
    <w:name w:val="Quotation"/>
    <w:basedOn w:val="Normal"/>
    <w:uiPriority w:val="99"/>
    <w:rsid w:val="006E20F3"/>
    <w:pPr>
      <w:tabs>
        <w:tab w:val="left" w:pos="720"/>
      </w:tabs>
      <w:spacing w:after="240"/>
      <w:ind w:left="720" w:right="720"/>
      <w:jc w:val="both"/>
    </w:pPr>
    <w:rPr>
      <w:sz w:val="22"/>
      <w:szCs w:val="20"/>
      <w:lang w:val="en-GB" w:eastAsia="en-GB"/>
    </w:rPr>
  </w:style>
  <w:style w:type="paragraph" w:customStyle="1" w:styleId="BodyText5">
    <w:name w:val="Body Text 5"/>
    <w:basedOn w:val="Normal"/>
    <w:uiPriority w:val="99"/>
    <w:rsid w:val="00DF631C"/>
    <w:pPr>
      <w:numPr>
        <w:ilvl w:val="8"/>
        <w:numId w:val="2"/>
      </w:numPr>
      <w:tabs>
        <w:tab w:val="left" w:pos="720"/>
      </w:tabs>
      <w:spacing w:after="240"/>
      <w:jc w:val="both"/>
    </w:pPr>
    <w:rPr>
      <w:sz w:val="22"/>
      <w:szCs w:val="20"/>
      <w:lang w:val="en-GB" w:eastAsia="en-GB"/>
    </w:rPr>
  </w:style>
  <w:style w:type="paragraph" w:customStyle="1" w:styleId="QuotationDouble">
    <w:name w:val="Quotation Double"/>
    <w:basedOn w:val="Normal"/>
    <w:uiPriority w:val="99"/>
    <w:rsid w:val="00DF631C"/>
    <w:pPr>
      <w:keepLines/>
      <w:tabs>
        <w:tab w:val="left" w:pos="720"/>
      </w:tabs>
      <w:spacing w:after="360"/>
      <w:ind w:left="1440" w:right="1440"/>
      <w:jc w:val="both"/>
    </w:pPr>
    <w:rPr>
      <w:sz w:val="22"/>
      <w:szCs w:val="20"/>
      <w:lang w:val="en-GB" w:eastAsia="en-GB"/>
    </w:rPr>
  </w:style>
  <w:style w:type="character" w:customStyle="1" w:styleId="StyleQuotationDoubleItalicChar">
    <w:name w:val="Style Quotation Double + Italic Char"/>
    <w:uiPriority w:val="99"/>
    <w:rsid w:val="00DF631C"/>
    <w:rPr>
      <w:i/>
      <w:sz w:val="22"/>
      <w:lang w:val="en-GB" w:eastAsia="en-GB"/>
    </w:rPr>
  </w:style>
  <w:style w:type="paragraph" w:customStyle="1" w:styleId="FootnoteQuotation">
    <w:name w:val="Footnote Quotation"/>
    <w:basedOn w:val="Normal"/>
    <w:uiPriority w:val="99"/>
    <w:rsid w:val="00726204"/>
    <w:pPr>
      <w:tabs>
        <w:tab w:val="left" w:pos="720"/>
      </w:tabs>
      <w:ind w:left="720" w:right="720"/>
      <w:jc w:val="both"/>
    </w:pPr>
    <w:rPr>
      <w:sz w:val="20"/>
      <w:szCs w:val="20"/>
      <w:lang w:val="en-GB" w:eastAsia="en-GB"/>
    </w:rPr>
  </w:style>
  <w:style w:type="paragraph" w:styleId="TOC3">
    <w:name w:val="toc 3"/>
    <w:basedOn w:val="Normal"/>
    <w:next w:val="Normal"/>
    <w:autoRedefine/>
    <w:uiPriority w:val="99"/>
    <w:rsid w:val="00286C98"/>
    <w:pPr>
      <w:ind w:left="480"/>
    </w:pPr>
  </w:style>
  <w:style w:type="paragraph" w:styleId="TOC4">
    <w:name w:val="toc 4"/>
    <w:basedOn w:val="Normal"/>
    <w:next w:val="Normal"/>
    <w:autoRedefine/>
    <w:uiPriority w:val="99"/>
    <w:rsid w:val="00286C98"/>
    <w:pPr>
      <w:ind w:left="720"/>
    </w:pPr>
  </w:style>
  <w:style w:type="character" w:styleId="Hyperlink">
    <w:name w:val="Hyperlink"/>
    <w:basedOn w:val="DefaultParagraphFont"/>
    <w:uiPriority w:val="99"/>
    <w:rsid w:val="00286C98"/>
    <w:rPr>
      <w:rFonts w:cs="Times New Roman"/>
      <w:color w:val="0000FF"/>
      <w:u w:val="single"/>
    </w:rPr>
  </w:style>
  <w:style w:type="paragraph" w:styleId="HTMLPreformatted">
    <w:name w:val="HTML Preformatted"/>
    <w:basedOn w:val="Normal"/>
    <w:link w:val="HTMLPreformattedChar"/>
    <w:uiPriority w:val="99"/>
    <w:rsid w:val="0075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28A6"/>
    <w:rPr>
      <w:rFonts w:ascii="Courier New" w:hAnsi="Courier New" w:cs="Courier New"/>
      <w:sz w:val="20"/>
      <w:szCs w:val="20"/>
    </w:rPr>
  </w:style>
  <w:style w:type="character" w:customStyle="1" w:styleId="FootnoteTextChar1">
    <w:name w:val="Footnote Text Char1"/>
    <w:aliases w:val="fn Char1,Footnotes Char1,Footnote ak Char1"/>
    <w:link w:val="FootnoteText"/>
    <w:uiPriority w:val="99"/>
    <w:locked/>
    <w:rsid w:val="009C5CCC"/>
    <w:rPr>
      <w:lang w:val="en-US" w:eastAsia="en-US"/>
    </w:rPr>
  </w:style>
  <w:style w:type="paragraph" w:customStyle="1" w:styleId="Default">
    <w:name w:val="Default"/>
    <w:uiPriority w:val="99"/>
    <w:rsid w:val="003F62A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03A44"/>
    <w:pPr>
      <w:tabs>
        <w:tab w:val="center" w:pos="4513"/>
        <w:tab w:val="right" w:pos="9026"/>
      </w:tabs>
    </w:pPr>
  </w:style>
  <w:style w:type="character" w:customStyle="1" w:styleId="HeaderChar">
    <w:name w:val="Header Char"/>
    <w:basedOn w:val="DefaultParagraphFont"/>
    <w:link w:val="Header"/>
    <w:uiPriority w:val="99"/>
    <w:locked/>
    <w:rsid w:val="00D03A44"/>
    <w:rPr>
      <w:rFonts w:cs="Times New Roman"/>
      <w:sz w:val="24"/>
      <w:szCs w:val="24"/>
      <w:lang w:val="en-US" w:eastAsia="en-US"/>
    </w:rPr>
  </w:style>
  <w:style w:type="paragraph" w:styleId="NormalWeb">
    <w:name w:val="Normal (Web)"/>
    <w:basedOn w:val="Normal"/>
    <w:uiPriority w:val="99"/>
    <w:rsid w:val="00AF54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54"/>
    <w:rPr>
      <w:sz w:val="24"/>
      <w:szCs w:val="24"/>
    </w:rPr>
  </w:style>
  <w:style w:type="paragraph" w:styleId="Heading1">
    <w:name w:val="heading 1"/>
    <w:basedOn w:val="Normal"/>
    <w:next w:val="Heading2"/>
    <w:link w:val="Heading1Char"/>
    <w:uiPriority w:val="99"/>
    <w:qFormat/>
    <w:rsid w:val="00C335A0"/>
    <w:pPr>
      <w:keepNext/>
      <w:numPr>
        <w:numId w:val="1"/>
      </w:numPr>
      <w:spacing w:after="240"/>
      <w:jc w:val="both"/>
      <w:outlineLvl w:val="0"/>
    </w:pPr>
    <w:rPr>
      <w:b/>
      <w:caps/>
      <w:sz w:val="22"/>
      <w:szCs w:val="20"/>
      <w:lang w:val="en-GB" w:eastAsia="en-GB"/>
    </w:rPr>
  </w:style>
  <w:style w:type="paragraph" w:styleId="Heading2">
    <w:name w:val="heading 2"/>
    <w:basedOn w:val="Normal"/>
    <w:next w:val="Heading3"/>
    <w:link w:val="Heading2Char"/>
    <w:uiPriority w:val="99"/>
    <w:qFormat/>
    <w:rsid w:val="00C335A0"/>
    <w:pPr>
      <w:keepNext/>
      <w:numPr>
        <w:ilvl w:val="1"/>
        <w:numId w:val="1"/>
      </w:numPr>
      <w:spacing w:after="240"/>
      <w:jc w:val="both"/>
      <w:outlineLvl w:val="1"/>
    </w:pPr>
    <w:rPr>
      <w:smallCaps/>
      <w:sz w:val="22"/>
      <w:szCs w:val="20"/>
      <w:lang w:val="en-GB" w:eastAsia="en-GB"/>
    </w:rPr>
  </w:style>
  <w:style w:type="paragraph" w:styleId="Heading3">
    <w:name w:val="heading 3"/>
    <w:basedOn w:val="Normal"/>
    <w:next w:val="Heading4"/>
    <w:link w:val="Heading3Char"/>
    <w:uiPriority w:val="99"/>
    <w:qFormat/>
    <w:rsid w:val="00C335A0"/>
    <w:pPr>
      <w:keepNext/>
      <w:numPr>
        <w:ilvl w:val="2"/>
        <w:numId w:val="1"/>
      </w:numPr>
      <w:spacing w:after="240"/>
      <w:jc w:val="both"/>
      <w:outlineLvl w:val="2"/>
    </w:pPr>
    <w:rPr>
      <w:b/>
      <w:sz w:val="22"/>
      <w:szCs w:val="20"/>
      <w:lang w:val="en-GB" w:eastAsia="en-GB"/>
    </w:rPr>
  </w:style>
  <w:style w:type="paragraph" w:styleId="Heading4">
    <w:name w:val="heading 4"/>
    <w:basedOn w:val="Normal"/>
    <w:next w:val="Heading5"/>
    <w:link w:val="Heading4Char"/>
    <w:uiPriority w:val="99"/>
    <w:qFormat/>
    <w:rsid w:val="00C335A0"/>
    <w:pPr>
      <w:keepNext/>
      <w:numPr>
        <w:ilvl w:val="3"/>
        <w:numId w:val="1"/>
      </w:numPr>
      <w:spacing w:after="240"/>
      <w:jc w:val="both"/>
      <w:outlineLvl w:val="3"/>
    </w:pPr>
    <w:rPr>
      <w:sz w:val="22"/>
      <w:szCs w:val="20"/>
      <w:lang w:val="en-GB" w:eastAsia="en-GB"/>
    </w:rPr>
  </w:style>
  <w:style w:type="paragraph" w:styleId="Heading5">
    <w:name w:val="heading 5"/>
    <w:basedOn w:val="Normal"/>
    <w:next w:val="BodyText"/>
    <w:link w:val="Heading5Char"/>
    <w:uiPriority w:val="99"/>
    <w:qFormat/>
    <w:rsid w:val="00C335A0"/>
    <w:pPr>
      <w:numPr>
        <w:ilvl w:val="4"/>
        <w:numId w:val="1"/>
      </w:numPr>
      <w:spacing w:after="240"/>
      <w:jc w:val="both"/>
      <w:outlineLvl w:val="4"/>
    </w:pPr>
    <w:rPr>
      <w:i/>
      <w:sz w:val="22"/>
      <w:szCs w:val="20"/>
      <w:lang w:val="en-GB" w:eastAsia="en-GB"/>
    </w:rPr>
  </w:style>
  <w:style w:type="paragraph" w:styleId="Heading6">
    <w:name w:val="heading 6"/>
    <w:basedOn w:val="Normal"/>
    <w:next w:val="Normal"/>
    <w:link w:val="Heading6Char"/>
    <w:uiPriority w:val="99"/>
    <w:qFormat/>
    <w:rsid w:val="0001036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8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28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28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28A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D28A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D28A6"/>
    <w:rPr>
      <w:rFonts w:asciiTheme="minorHAnsi" w:eastAsiaTheme="minorEastAsia" w:hAnsiTheme="minorHAnsi" w:cstheme="minorBidi"/>
      <w:b/>
      <w:bCs/>
    </w:rPr>
  </w:style>
  <w:style w:type="paragraph" w:styleId="FootnoteText">
    <w:name w:val="footnote text"/>
    <w:aliases w:val="fn,Footnotes,Footnote ak"/>
    <w:basedOn w:val="Normal"/>
    <w:link w:val="FootnoteTextChar1"/>
    <w:uiPriority w:val="99"/>
    <w:semiHidden/>
    <w:rsid w:val="00266C07"/>
    <w:rPr>
      <w:sz w:val="20"/>
      <w:szCs w:val="20"/>
    </w:rPr>
  </w:style>
  <w:style w:type="character" w:customStyle="1" w:styleId="FootnoteTextChar">
    <w:name w:val="Footnote Text Char"/>
    <w:aliases w:val="fn Char,Footnotes Char,Footnote ak Char"/>
    <w:basedOn w:val="DefaultParagraphFont"/>
    <w:uiPriority w:val="99"/>
    <w:semiHidden/>
    <w:rsid w:val="006D28A6"/>
    <w:rPr>
      <w:sz w:val="20"/>
      <w:szCs w:val="20"/>
    </w:rPr>
  </w:style>
  <w:style w:type="character" w:styleId="FootnoteReference">
    <w:name w:val="footnote reference"/>
    <w:aliases w:val="Ref,de nota al pie"/>
    <w:basedOn w:val="DefaultParagraphFont"/>
    <w:uiPriority w:val="99"/>
    <w:semiHidden/>
    <w:rsid w:val="00266C07"/>
    <w:rPr>
      <w:rFonts w:cs="Times New Roman"/>
      <w:vertAlign w:val="superscript"/>
    </w:rPr>
  </w:style>
  <w:style w:type="paragraph" w:styleId="Footer">
    <w:name w:val="footer"/>
    <w:basedOn w:val="Normal"/>
    <w:link w:val="FooterChar"/>
    <w:uiPriority w:val="99"/>
    <w:rsid w:val="00E83664"/>
    <w:pPr>
      <w:tabs>
        <w:tab w:val="center" w:pos="4320"/>
        <w:tab w:val="right" w:pos="8640"/>
      </w:tabs>
    </w:pPr>
  </w:style>
  <w:style w:type="character" w:customStyle="1" w:styleId="FooterChar">
    <w:name w:val="Footer Char"/>
    <w:basedOn w:val="DefaultParagraphFont"/>
    <w:link w:val="Footer"/>
    <w:uiPriority w:val="99"/>
    <w:locked/>
    <w:rsid w:val="00D03A44"/>
    <w:rPr>
      <w:sz w:val="24"/>
      <w:lang w:val="en-US" w:eastAsia="en-US"/>
    </w:rPr>
  </w:style>
  <w:style w:type="character" w:styleId="PageNumber">
    <w:name w:val="page number"/>
    <w:basedOn w:val="DefaultParagraphFont"/>
    <w:uiPriority w:val="99"/>
    <w:rsid w:val="00E83664"/>
    <w:rPr>
      <w:rFonts w:cs="Times New Roman"/>
    </w:rPr>
  </w:style>
  <w:style w:type="paragraph" w:styleId="BodyText">
    <w:name w:val="Body Text"/>
    <w:basedOn w:val="Normal"/>
    <w:link w:val="BodyTextChar"/>
    <w:uiPriority w:val="99"/>
    <w:rsid w:val="00C335A0"/>
    <w:pPr>
      <w:numPr>
        <w:ilvl w:val="5"/>
        <w:numId w:val="1"/>
      </w:numPr>
      <w:spacing w:after="240"/>
      <w:jc w:val="both"/>
    </w:pPr>
    <w:rPr>
      <w:sz w:val="22"/>
      <w:szCs w:val="20"/>
      <w:lang w:val="en-GB" w:eastAsia="en-GB"/>
    </w:rPr>
  </w:style>
  <w:style w:type="character" w:customStyle="1" w:styleId="BodyTextChar">
    <w:name w:val="Body Text Char"/>
    <w:basedOn w:val="DefaultParagraphFont"/>
    <w:link w:val="BodyText"/>
    <w:uiPriority w:val="99"/>
    <w:semiHidden/>
    <w:rsid w:val="006D28A6"/>
    <w:rPr>
      <w:sz w:val="24"/>
      <w:szCs w:val="24"/>
    </w:rPr>
  </w:style>
  <w:style w:type="paragraph" w:styleId="BodyText2">
    <w:name w:val="Body Text 2"/>
    <w:basedOn w:val="Normal"/>
    <w:link w:val="BodyText2Char"/>
    <w:uiPriority w:val="99"/>
    <w:rsid w:val="00C335A0"/>
    <w:pPr>
      <w:numPr>
        <w:ilvl w:val="6"/>
        <w:numId w:val="1"/>
      </w:numPr>
      <w:spacing w:after="240"/>
      <w:jc w:val="both"/>
    </w:pPr>
    <w:rPr>
      <w:sz w:val="22"/>
      <w:szCs w:val="20"/>
      <w:lang w:val="en-GB" w:eastAsia="en-GB"/>
    </w:rPr>
  </w:style>
  <w:style w:type="character" w:customStyle="1" w:styleId="BodyText2Char">
    <w:name w:val="Body Text 2 Char"/>
    <w:basedOn w:val="DefaultParagraphFont"/>
    <w:link w:val="BodyText2"/>
    <w:uiPriority w:val="99"/>
    <w:semiHidden/>
    <w:rsid w:val="006D28A6"/>
    <w:rPr>
      <w:sz w:val="24"/>
      <w:szCs w:val="24"/>
    </w:rPr>
  </w:style>
  <w:style w:type="paragraph" w:styleId="BodyText3">
    <w:name w:val="Body Text 3"/>
    <w:basedOn w:val="Normal"/>
    <w:link w:val="BodyText3Char"/>
    <w:uiPriority w:val="99"/>
    <w:rsid w:val="00C335A0"/>
    <w:pPr>
      <w:numPr>
        <w:ilvl w:val="7"/>
        <w:numId w:val="1"/>
      </w:numPr>
      <w:spacing w:after="240"/>
      <w:jc w:val="both"/>
    </w:pPr>
    <w:rPr>
      <w:sz w:val="22"/>
      <w:szCs w:val="20"/>
      <w:lang w:val="en-GB" w:eastAsia="en-GB"/>
    </w:rPr>
  </w:style>
  <w:style w:type="character" w:customStyle="1" w:styleId="BodyText3Char">
    <w:name w:val="Body Text 3 Char"/>
    <w:basedOn w:val="DefaultParagraphFont"/>
    <w:link w:val="BodyText3"/>
    <w:uiPriority w:val="99"/>
    <w:semiHidden/>
    <w:rsid w:val="006D28A6"/>
    <w:rPr>
      <w:sz w:val="16"/>
      <w:szCs w:val="16"/>
    </w:rPr>
  </w:style>
  <w:style w:type="paragraph" w:customStyle="1" w:styleId="BodyText4">
    <w:name w:val="Body Text 4"/>
    <w:basedOn w:val="Normal"/>
    <w:uiPriority w:val="99"/>
    <w:rsid w:val="00C335A0"/>
    <w:pPr>
      <w:numPr>
        <w:ilvl w:val="8"/>
        <w:numId w:val="1"/>
      </w:numPr>
      <w:spacing w:after="240"/>
      <w:jc w:val="both"/>
    </w:pPr>
    <w:rPr>
      <w:sz w:val="22"/>
      <w:szCs w:val="20"/>
      <w:lang w:val="en-GB" w:eastAsia="en-GB"/>
    </w:rPr>
  </w:style>
  <w:style w:type="paragraph" w:customStyle="1" w:styleId="Quotation">
    <w:name w:val="Quotation"/>
    <w:basedOn w:val="Normal"/>
    <w:uiPriority w:val="99"/>
    <w:rsid w:val="006E20F3"/>
    <w:pPr>
      <w:tabs>
        <w:tab w:val="left" w:pos="720"/>
      </w:tabs>
      <w:spacing w:after="240"/>
      <w:ind w:left="720" w:right="720"/>
      <w:jc w:val="both"/>
    </w:pPr>
    <w:rPr>
      <w:sz w:val="22"/>
      <w:szCs w:val="20"/>
      <w:lang w:val="en-GB" w:eastAsia="en-GB"/>
    </w:rPr>
  </w:style>
  <w:style w:type="paragraph" w:customStyle="1" w:styleId="BodyText5">
    <w:name w:val="Body Text 5"/>
    <w:basedOn w:val="Normal"/>
    <w:uiPriority w:val="99"/>
    <w:rsid w:val="00DF631C"/>
    <w:pPr>
      <w:numPr>
        <w:ilvl w:val="8"/>
        <w:numId w:val="2"/>
      </w:numPr>
      <w:tabs>
        <w:tab w:val="left" w:pos="720"/>
      </w:tabs>
      <w:spacing w:after="240"/>
      <w:jc w:val="both"/>
    </w:pPr>
    <w:rPr>
      <w:sz w:val="22"/>
      <w:szCs w:val="20"/>
      <w:lang w:val="en-GB" w:eastAsia="en-GB"/>
    </w:rPr>
  </w:style>
  <w:style w:type="paragraph" w:customStyle="1" w:styleId="QuotationDouble">
    <w:name w:val="Quotation Double"/>
    <w:basedOn w:val="Normal"/>
    <w:uiPriority w:val="99"/>
    <w:rsid w:val="00DF631C"/>
    <w:pPr>
      <w:keepLines/>
      <w:tabs>
        <w:tab w:val="left" w:pos="720"/>
      </w:tabs>
      <w:spacing w:after="360"/>
      <w:ind w:left="1440" w:right="1440"/>
      <w:jc w:val="both"/>
    </w:pPr>
    <w:rPr>
      <w:sz w:val="22"/>
      <w:szCs w:val="20"/>
      <w:lang w:val="en-GB" w:eastAsia="en-GB"/>
    </w:rPr>
  </w:style>
  <w:style w:type="character" w:customStyle="1" w:styleId="StyleQuotationDoubleItalicChar">
    <w:name w:val="Style Quotation Double + Italic Char"/>
    <w:uiPriority w:val="99"/>
    <w:rsid w:val="00DF631C"/>
    <w:rPr>
      <w:i/>
      <w:sz w:val="22"/>
      <w:lang w:val="en-GB" w:eastAsia="en-GB"/>
    </w:rPr>
  </w:style>
  <w:style w:type="paragraph" w:customStyle="1" w:styleId="FootnoteQuotation">
    <w:name w:val="Footnote Quotation"/>
    <w:basedOn w:val="Normal"/>
    <w:uiPriority w:val="99"/>
    <w:rsid w:val="00726204"/>
    <w:pPr>
      <w:tabs>
        <w:tab w:val="left" w:pos="720"/>
      </w:tabs>
      <w:ind w:left="720" w:right="720"/>
      <w:jc w:val="both"/>
    </w:pPr>
    <w:rPr>
      <w:sz w:val="20"/>
      <w:szCs w:val="20"/>
      <w:lang w:val="en-GB" w:eastAsia="en-GB"/>
    </w:rPr>
  </w:style>
  <w:style w:type="paragraph" w:styleId="TOC3">
    <w:name w:val="toc 3"/>
    <w:basedOn w:val="Normal"/>
    <w:next w:val="Normal"/>
    <w:autoRedefine/>
    <w:uiPriority w:val="99"/>
    <w:rsid w:val="00286C98"/>
    <w:pPr>
      <w:ind w:left="480"/>
    </w:pPr>
  </w:style>
  <w:style w:type="paragraph" w:styleId="TOC4">
    <w:name w:val="toc 4"/>
    <w:basedOn w:val="Normal"/>
    <w:next w:val="Normal"/>
    <w:autoRedefine/>
    <w:uiPriority w:val="99"/>
    <w:rsid w:val="00286C98"/>
    <w:pPr>
      <w:ind w:left="720"/>
    </w:pPr>
  </w:style>
  <w:style w:type="character" w:styleId="Hyperlink">
    <w:name w:val="Hyperlink"/>
    <w:basedOn w:val="DefaultParagraphFont"/>
    <w:uiPriority w:val="99"/>
    <w:rsid w:val="00286C98"/>
    <w:rPr>
      <w:rFonts w:cs="Times New Roman"/>
      <w:color w:val="0000FF"/>
      <w:u w:val="single"/>
    </w:rPr>
  </w:style>
  <w:style w:type="paragraph" w:styleId="HTMLPreformatted">
    <w:name w:val="HTML Preformatted"/>
    <w:basedOn w:val="Normal"/>
    <w:link w:val="HTMLPreformattedChar"/>
    <w:uiPriority w:val="99"/>
    <w:rsid w:val="0075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28A6"/>
    <w:rPr>
      <w:rFonts w:ascii="Courier New" w:hAnsi="Courier New" w:cs="Courier New"/>
      <w:sz w:val="20"/>
      <w:szCs w:val="20"/>
    </w:rPr>
  </w:style>
  <w:style w:type="character" w:customStyle="1" w:styleId="FootnoteTextChar1">
    <w:name w:val="Footnote Text Char1"/>
    <w:aliases w:val="fn Char1,Footnotes Char1,Footnote ak Char1"/>
    <w:link w:val="FootnoteText"/>
    <w:uiPriority w:val="99"/>
    <w:locked/>
    <w:rsid w:val="009C5CCC"/>
    <w:rPr>
      <w:lang w:val="en-US" w:eastAsia="en-US"/>
    </w:rPr>
  </w:style>
  <w:style w:type="paragraph" w:customStyle="1" w:styleId="Default">
    <w:name w:val="Default"/>
    <w:uiPriority w:val="99"/>
    <w:rsid w:val="003F62A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03A44"/>
    <w:pPr>
      <w:tabs>
        <w:tab w:val="center" w:pos="4513"/>
        <w:tab w:val="right" w:pos="9026"/>
      </w:tabs>
    </w:pPr>
  </w:style>
  <w:style w:type="character" w:customStyle="1" w:styleId="HeaderChar">
    <w:name w:val="Header Char"/>
    <w:basedOn w:val="DefaultParagraphFont"/>
    <w:link w:val="Header"/>
    <w:uiPriority w:val="99"/>
    <w:locked/>
    <w:rsid w:val="00D03A44"/>
    <w:rPr>
      <w:rFonts w:cs="Times New Roman"/>
      <w:sz w:val="24"/>
      <w:szCs w:val="24"/>
      <w:lang w:val="en-US" w:eastAsia="en-US"/>
    </w:rPr>
  </w:style>
  <w:style w:type="paragraph" w:styleId="NormalWeb">
    <w:name w:val="Normal (Web)"/>
    <w:basedOn w:val="Normal"/>
    <w:uiPriority w:val="99"/>
    <w:rsid w:val="00AF54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12568">
      <w:marLeft w:val="0"/>
      <w:marRight w:val="0"/>
      <w:marTop w:val="0"/>
      <w:marBottom w:val="0"/>
      <w:divBdr>
        <w:top w:val="none" w:sz="0" w:space="0" w:color="auto"/>
        <w:left w:val="none" w:sz="0" w:space="0" w:color="auto"/>
        <w:bottom w:val="none" w:sz="0" w:space="0" w:color="auto"/>
        <w:right w:val="none" w:sz="0" w:space="0" w:color="auto"/>
      </w:divBdr>
    </w:div>
    <w:div w:id="547912575">
      <w:marLeft w:val="0"/>
      <w:marRight w:val="0"/>
      <w:marTop w:val="0"/>
      <w:marBottom w:val="0"/>
      <w:divBdr>
        <w:top w:val="none" w:sz="0" w:space="0" w:color="auto"/>
        <w:left w:val="none" w:sz="0" w:space="0" w:color="auto"/>
        <w:bottom w:val="none" w:sz="0" w:space="0" w:color="auto"/>
        <w:right w:val="none" w:sz="0" w:space="0" w:color="auto"/>
      </w:divBdr>
      <w:divsChild>
        <w:div w:id="547912569">
          <w:marLeft w:val="0"/>
          <w:marRight w:val="0"/>
          <w:marTop w:val="0"/>
          <w:marBottom w:val="0"/>
          <w:divBdr>
            <w:top w:val="none" w:sz="0" w:space="0" w:color="auto"/>
            <w:left w:val="none" w:sz="0" w:space="0" w:color="auto"/>
            <w:bottom w:val="none" w:sz="0" w:space="0" w:color="auto"/>
            <w:right w:val="none" w:sz="0" w:space="0" w:color="auto"/>
          </w:divBdr>
          <w:divsChild>
            <w:div w:id="547912573">
              <w:marLeft w:val="0"/>
              <w:marRight w:val="0"/>
              <w:marTop w:val="0"/>
              <w:marBottom w:val="0"/>
              <w:divBdr>
                <w:top w:val="none" w:sz="0" w:space="0" w:color="auto"/>
                <w:left w:val="none" w:sz="0" w:space="0" w:color="auto"/>
                <w:bottom w:val="none" w:sz="0" w:space="0" w:color="auto"/>
                <w:right w:val="none" w:sz="0" w:space="0" w:color="auto"/>
              </w:divBdr>
              <w:divsChild>
                <w:div w:id="547912572">
                  <w:marLeft w:val="0"/>
                  <w:marRight w:val="0"/>
                  <w:marTop w:val="0"/>
                  <w:marBottom w:val="0"/>
                  <w:divBdr>
                    <w:top w:val="single" w:sz="2" w:space="0" w:color="FF0000"/>
                    <w:left w:val="single" w:sz="2" w:space="0" w:color="FF0000"/>
                    <w:bottom w:val="single" w:sz="2" w:space="0" w:color="FF0000"/>
                    <w:right w:val="single" w:sz="2" w:space="0" w:color="FF0000"/>
                  </w:divBdr>
                  <w:divsChild>
                    <w:div w:id="547912576">
                      <w:marLeft w:val="0"/>
                      <w:marRight w:val="0"/>
                      <w:marTop w:val="0"/>
                      <w:marBottom w:val="0"/>
                      <w:divBdr>
                        <w:top w:val="none" w:sz="0" w:space="0" w:color="auto"/>
                        <w:left w:val="none" w:sz="0" w:space="0" w:color="auto"/>
                        <w:bottom w:val="none" w:sz="0" w:space="0" w:color="auto"/>
                        <w:right w:val="none" w:sz="0" w:space="0" w:color="auto"/>
                      </w:divBdr>
                      <w:divsChild>
                        <w:div w:id="5479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12577">
      <w:marLeft w:val="0"/>
      <w:marRight w:val="0"/>
      <w:marTop w:val="0"/>
      <w:marBottom w:val="0"/>
      <w:divBdr>
        <w:top w:val="none" w:sz="0" w:space="0" w:color="auto"/>
        <w:left w:val="none" w:sz="0" w:space="0" w:color="auto"/>
        <w:bottom w:val="none" w:sz="0" w:space="0" w:color="auto"/>
        <w:right w:val="none" w:sz="0" w:space="0" w:color="auto"/>
      </w:divBdr>
      <w:divsChild>
        <w:div w:id="547912570">
          <w:marLeft w:val="0"/>
          <w:marRight w:val="0"/>
          <w:marTop w:val="0"/>
          <w:marBottom w:val="0"/>
          <w:divBdr>
            <w:top w:val="none" w:sz="0" w:space="0" w:color="auto"/>
            <w:left w:val="none" w:sz="0" w:space="0" w:color="auto"/>
            <w:bottom w:val="none" w:sz="0" w:space="0" w:color="auto"/>
            <w:right w:val="none" w:sz="0" w:space="0" w:color="auto"/>
          </w:divBdr>
          <w:divsChild>
            <w:div w:id="547912579">
              <w:marLeft w:val="0"/>
              <w:marRight w:val="0"/>
              <w:marTop w:val="0"/>
              <w:marBottom w:val="0"/>
              <w:divBdr>
                <w:top w:val="none" w:sz="0" w:space="0" w:color="auto"/>
                <w:left w:val="none" w:sz="0" w:space="0" w:color="auto"/>
                <w:bottom w:val="none" w:sz="0" w:space="0" w:color="auto"/>
                <w:right w:val="none" w:sz="0" w:space="0" w:color="auto"/>
              </w:divBdr>
              <w:divsChild>
                <w:div w:id="547912574">
                  <w:marLeft w:val="0"/>
                  <w:marRight w:val="0"/>
                  <w:marTop w:val="0"/>
                  <w:marBottom w:val="0"/>
                  <w:divBdr>
                    <w:top w:val="single" w:sz="2" w:space="0" w:color="FF0000"/>
                    <w:left w:val="single" w:sz="2" w:space="0" w:color="FF0000"/>
                    <w:bottom w:val="single" w:sz="2" w:space="0" w:color="FF0000"/>
                    <w:right w:val="single" w:sz="2" w:space="0" w:color="FF0000"/>
                  </w:divBdr>
                  <w:divsChild>
                    <w:div w:id="547912571">
                      <w:marLeft w:val="0"/>
                      <w:marRight w:val="0"/>
                      <w:marTop w:val="0"/>
                      <w:marBottom w:val="0"/>
                      <w:divBdr>
                        <w:top w:val="none" w:sz="0" w:space="0" w:color="auto"/>
                        <w:left w:val="none" w:sz="0" w:space="0" w:color="auto"/>
                        <w:bottom w:val="none" w:sz="0" w:space="0" w:color="auto"/>
                        <w:right w:val="none" w:sz="0" w:space="0" w:color="auto"/>
                      </w:divBdr>
                      <w:divsChild>
                        <w:div w:id="5479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genevalunch.com/blog/tag/michael-pun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6968</Words>
  <Characters>38328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Proposal for a</vt:lpstr>
    </vt:vector>
  </TitlesOfParts>
  <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dc:title>
  <dc:creator>Maonera</dc:creator>
  <cp:lastModifiedBy>Felx maonera</cp:lastModifiedBy>
  <cp:revision>2</cp:revision>
  <cp:lastPrinted>2011-06-27T11:46:00Z</cp:lastPrinted>
  <dcterms:created xsi:type="dcterms:W3CDTF">2012-06-21T13:18:00Z</dcterms:created>
  <dcterms:modified xsi:type="dcterms:W3CDTF">2012-06-21T13:18:00Z</dcterms:modified>
</cp:coreProperties>
</file>